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D" w:rsidRPr="00640D6F" w:rsidRDefault="00B23E38" w:rsidP="0064720D">
      <w:pPr>
        <w:pStyle w:val="Endnotentext"/>
        <w:spacing w:line="360" w:lineRule="auto"/>
        <w:outlineLvl w:val="0"/>
        <w:rPr>
          <w:b/>
          <w:noProof/>
          <w:sz w:val="24"/>
          <w:szCs w:val="24"/>
        </w:rPr>
      </w:pPr>
      <w:bookmarkStart w:id="0" w:name="_GoBack"/>
      <w:bookmarkEnd w:id="0"/>
      <w:r>
        <w:rPr>
          <w:b/>
          <w:noProof/>
          <w:sz w:val="24"/>
          <w:szCs w:val="24"/>
        </w:rPr>
        <w:t>Übersicht</w:t>
      </w:r>
    </w:p>
    <w:p w:rsidR="0064720D" w:rsidRDefault="0064720D" w:rsidP="0064720D">
      <w:pPr>
        <w:pStyle w:val="Endnotentext"/>
        <w:spacing w:line="360" w:lineRule="auto"/>
        <w:rPr>
          <w:b/>
          <w:noProof/>
          <w:sz w:val="28"/>
        </w:rPr>
      </w:pPr>
      <w:r w:rsidRPr="0064720D">
        <w:rPr>
          <w:b/>
          <w:noProof/>
          <w:sz w:val="28"/>
        </w:rPr>
        <w:t xml:space="preserve">Ermittlung von Prüffristen für die Wiederholungsprüfungen </w:t>
      </w:r>
      <w:r>
        <w:rPr>
          <w:b/>
          <w:noProof/>
          <w:sz w:val="28"/>
        </w:rPr>
        <w:br/>
        <w:t>ortsveränderlicher elektrischer Betriebsmittel</w:t>
      </w:r>
    </w:p>
    <w:p w:rsidR="00A66F3C" w:rsidRPr="00296FAA" w:rsidRDefault="00302137" w:rsidP="00296FAA">
      <w:pPr>
        <w:pStyle w:val="Endnotentext"/>
        <w:tabs>
          <w:tab w:val="left" w:pos="709"/>
          <w:tab w:val="left" w:pos="4253"/>
          <w:tab w:val="left" w:pos="5245"/>
        </w:tabs>
        <w:rPr>
          <w:b/>
          <w:noProof/>
          <w:sz w:val="20"/>
        </w:rPr>
      </w:pPr>
      <w:r w:rsidRPr="00296FAA">
        <w:rPr>
          <w:b/>
          <w:noProof/>
          <w:sz w:val="20"/>
        </w:rPr>
        <w:t xml:space="preserve">Die Prüffristen dienen nur noch als Orientierungshilfe/Handlungsanleitung für die Wiederholungsprüfung </w:t>
      </w:r>
      <w:r w:rsidR="003B4FE1" w:rsidRPr="00296FAA">
        <w:rPr>
          <w:b/>
          <w:noProof/>
          <w:sz w:val="20"/>
        </w:rPr>
        <w:t>ortsveränderlicher elektrischer Betriebsmittel</w:t>
      </w:r>
      <w:r w:rsidR="00B60D7A">
        <w:rPr>
          <w:b/>
          <w:noProof/>
          <w:sz w:val="20"/>
        </w:rPr>
        <w:t>.</w:t>
      </w:r>
    </w:p>
    <w:p w:rsidR="00302137" w:rsidRPr="00296FAA" w:rsidRDefault="00302137" w:rsidP="00296FAA">
      <w:pPr>
        <w:pStyle w:val="Endnotentext"/>
        <w:tabs>
          <w:tab w:val="left" w:pos="709"/>
          <w:tab w:val="left" w:pos="4253"/>
          <w:tab w:val="left" w:pos="5245"/>
        </w:tabs>
        <w:rPr>
          <w:noProof/>
          <w:sz w:val="20"/>
        </w:rPr>
      </w:pPr>
    </w:p>
    <w:p w:rsidR="00302137" w:rsidRPr="00296FAA" w:rsidRDefault="00302137" w:rsidP="00296FAA">
      <w:pPr>
        <w:pStyle w:val="Endnotentext"/>
        <w:tabs>
          <w:tab w:val="left" w:pos="709"/>
          <w:tab w:val="left" w:pos="4253"/>
          <w:tab w:val="left" w:pos="5245"/>
        </w:tabs>
        <w:rPr>
          <w:b/>
          <w:noProof/>
          <w:sz w:val="20"/>
        </w:rPr>
      </w:pPr>
      <w:r w:rsidRPr="00296FAA">
        <w:rPr>
          <w:b/>
          <w:noProof/>
          <w:sz w:val="20"/>
        </w:rPr>
        <w:t>Die Prüffristenermittlung muss nach §</w:t>
      </w:r>
      <w:r w:rsidR="00C70DD5">
        <w:rPr>
          <w:b/>
          <w:noProof/>
          <w:sz w:val="20"/>
        </w:rPr>
        <w:t xml:space="preserve"> </w:t>
      </w:r>
      <w:r w:rsidRPr="00296FAA">
        <w:rPr>
          <w:b/>
          <w:noProof/>
          <w:sz w:val="20"/>
        </w:rPr>
        <w:t>3 der Betriebssicherheitsverordnung anhand einer Gefährdungsbeurteilung erfolgen.</w:t>
      </w:r>
    </w:p>
    <w:p w:rsidR="00296FAA" w:rsidRPr="00296FAA" w:rsidRDefault="00296FAA" w:rsidP="00296FAA">
      <w:pPr>
        <w:pStyle w:val="Endnotentext"/>
        <w:tabs>
          <w:tab w:val="left" w:pos="709"/>
          <w:tab w:val="left" w:pos="4253"/>
          <w:tab w:val="left" w:pos="5245"/>
        </w:tabs>
        <w:rPr>
          <w:noProof/>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9"/>
      </w:tblGrid>
      <w:tr w:rsidR="00A66F3C" w:rsidRPr="002B651A" w:rsidTr="002B651A">
        <w:tc>
          <w:tcPr>
            <w:tcW w:w="9639" w:type="dxa"/>
            <w:shd w:val="clear" w:color="auto" w:fill="auto"/>
          </w:tcPr>
          <w:p w:rsidR="00A66F3C" w:rsidRPr="002B651A" w:rsidRDefault="00A66F3C" w:rsidP="00292BBD">
            <w:pPr>
              <w:tabs>
                <w:tab w:val="left" w:pos="5040"/>
                <w:tab w:val="right" w:pos="9639"/>
              </w:tabs>
              <w:spacing w:before="120" w:after="120"/>
              <w:rPr>
                <w:rFonts w:cs="Arial"/>
                <w:b/>
                <w:sz w:val="20"/>
              </w:rPr>
            </w:pPr>
            <w:r w:rsidRPr="002B651A">
              <w:rPr>
                <w:rFonts w:cs="Arial"/>
                <w:b/>
                <w:sz w:val="20"/>
              </w:rPr>
              <w:t>Rechts</w:t>
            </w:r>
            <w:r w:rsidR="00035FE1">
              <w:rPr>
                <w:rFonts w:cs="Arial"/>
                <w:b/>
                <w:sz w:val="20"/>
              </w:rPr>
              <w:t>- und Normen</w:t>
            </w:r>
            <w:r w:rsidRPr="002B651A">
              <w:rPr>
                <w:rFonts w:cs="Arial"/>
                <w:b/>
                <w:sz w:val="20"/>
              </w:rPr>
              <w:t>verweise:</w:t>
            </w:r>
            <w:r w:rsidRPr="002B651A">
              <w:rPr>
                <w:noProof/>
                <w:sz w:val="20"/>
              </w:rPr>
              <w:t xml:space="preserve"> </w:t>
            </w:r>
            <w:r w:rsidR="00302137" w:rsidRPr="002B651A">
              <w:rPr>
                <w:noProof/>
                <w:sz w:val="20"/>
              </w:rPr>
              <w:t xml:space="preserve">BetrSichV, TRBS 1111, TRBS 1201, </w:t>
            </w:r>
            <w:r w:rsidR="00171E92">
              <w:rPr>
                <w:noProof/>
                <w:sz w:val="20"/>
              </w:rPr>
              <w:t>DGUV Vorschrift 3</w:t>
            </w:r>
            <w:r w:rsidRPr="002B651A">
              <w:rPr>
                <w:noProof/>
                <w:sz w:val="20"/>
              </w:rPr>
              <w:t xml:space="preserve"> DA § 5, </w:t>
            </w:r>
            <w:r w:rsidR="00292BBD">
              <w:rPr>
                <w:noProof/>
                <w:sz w:val="20"/>
              </w:rPr>
              <w:t>DGUV Information 203-006</w:t>
            </w:r>
          </w:p>
        </w:tc>
      </w:tr>
    </w:tbl>
    <w:p w:rsidR="00A66F3C" w:rsidRPr="00E3782A" w:rsidRDefault="00A66F3C" w:rsidP="00A66F3C">
      <w:pPr>
        <w:tabs>
          <w:tab w:val="left" w:pos="5040"/>
          <w:tab w:val="right" w:pos="9639"/>
        </w:tabs>
        <w:spacing w:before="60" w:after="60"/>
        <w:rPr>
          <w:rFonts w:cs="Arial"/>
          <w:sz w:val="20"/>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7"/>
        <w:gridCol w:w="2127"/>
        <w:gridCol w:w="2551"/>
      </w:tblGrid>
      <w:tr w:rsidR="00405B1F" w:rsidRPr="00A66F3C" w:rsidTr="00405B1F">
        <w:trPr>
          <w:tblHeader/>
        </w:trPr>
        <w:tc>
          <w:tcPr>
            <w:tcW w:w="2835" w:type="dxa"/>
            <w:tcBorders>
              <w:bottom w:val="single" w:sz="4" w:space="0" w:color="auto"/>
            </w:tcBorders>
            <w:shd w:val="clear" w:color="auto" w:fill="CCCCCC"/>
            <w:vAlign w:val="center"/>
          </w:tcPr>
          <w:p w:rsidR="00405B1F" w:rsidRPr="00A66F3C" w:rsidRDefault="00405B1F">
            <w:pPr>
              <w:spacing w:before="120" w:after="120" w:line="22" w:lineRule="atLeast"/>
              <w:jc w:val="center"/>
              <w:rPr>
                <w:b/>
                <w:noProof/>
                <w:sz w:val="20"/>
              </w:rPr>
            </w:pPr>
            <w:r w:rsidRPr="00A66F3C">
              <w:rPr>
                <w:b/>
                <w:noProof/>
                <w:sz w:val="20"/>
              </w:rPr>
              <w:t>Betriebsmittel</w:t>
            </w:r>
          </w:p>
        </w:tc>
        <w:tc>
          <w:tcPr>
            <w:tcW w:w="2127" w:type="dxa"/>
            <w:tcBorders>
              <w:bottom w:val="single" w:sz="4" w:space="0" w:color="auto"/>
            </w:tcBorders>
            <w:shd w:val="clear" w:color="auto" w:fill="CCCCCC"/>
            <w:vAlign w:val="center"/>
          </w:tcPr>
          <w:p w:rsidR="00405B1F" w:rsidRPr="00A66F3C" w:rsidRDefault="00405B1F" w:rsidP="00405B1F">
            <w:pPr>
              <w:spacing w:before="120" w:after="120" w:line="22" w:lineRule="atLeast"/>
              <w:jc w:val="center"/>
              <w:rPr>
                <w:b/>
                <w:noProof/>
                <w:sz w:val="20"/>
              </w:rPr>
            </w:pPr>
            <w:r w:rsidRPr="00A66F3C">
              <w:rPr>
                <w:b/>
                <w:noProof/>
                <w:sz w:val="20"/>
              </w:rPr>
              <w:t>Prüffrist</w:t>
            </w:r>
            <w:r>
              <w:rPr>
                <w:b/>
                <w:noProof/>
                <w:sz w:val="20"/>
              </w:rPr>
              <w:t xml:space="preserve"> nach </w:t>
            </w:r>
            <w:r w:rsidR="00171E92">
              <w:rPr>
                <w:b/>
                <w:noProof/>
                <w:sz w:val="20"/>
              </w:rPr>
              <w:br/>
            </w:r>
            <w:r>
              <w:rPr>
                <w:b/>
                <w:noProof/>
                <w:sz w:val="20"/>
              </w:rPr>
              <w:t>TRBS 1201</w:t>
            </w:r>
            <w:r w:rsidRPr="00A66F3C">
              <w:rPr>
                <w:b/>
                <w:noProof/>
                <w:sz w:val="20"/>
              </w:rPr>
              <w:br/>
            </w:r>
            <w:r w:rsidRPr="00A92F85">
              <w:rPr>
                <w:noProof/>
                <w:sz w:val="20"/>
              </w:rPr>
              <w:t>(</w:t>
            </w:r>
            <w:r>
              <w:rPr>
                <w:noProof/>
                <w:sz w:val="20"/>
              </w:rPr>
              <w:t>Empfehlung</w:t>
            </w:r>
            <w:r w:rsidRPr="00A92F85">
              <w:rPr>
                <w:noProof/>
                <w:sz w:val="20"/>
              </w:rPr>
              <w:t>)</w:t>
            </w:r>
          </w:p>
        </w:tc>
        <w:tc>
          <w:tcPr>
            <w:tcW w:w="2127" w:type="dxa"/>
            <w:tcBorders>
              <w:bottom w:val="single" w:sz="4" w:space="0" w:color="auto"/>
            </w:tcBorders>
            <w:shd w:val="clear" w:color="auto" w:fill="CCCCCC"/>
            <w:vAlign w:val="center"/>
          </w:tcPr>
          <w:p w:rsidR="00405B1F" w:rsidRPr="00A66F3C" w:rsidRDefault="00405B1F" w:rsidP="00171E92">
            <w:pPr>
              <w:spacing w:before="120" w:after="120" w:line="22" w:lineRule="atLeast"/>
              <w:jc w:val="center"/>
              <w:rPr>
                <w:b/>
                <w:noProof/>
                <w:sz w:val="20"/>
              </w:rPr>
            </w:pPr>
            <w:r w:rsidRPr="00A66F3C">
              <w:rPr>
                <w:b/>
                <w:noProof/>
                <w:sz w:val="20"/>
              </w:rPr>
              <w:t>Prüffrist</w:t>
            </w:r>
            <w:r>
              <w:rPr>
                <w:b/>
                <w:noProof/>
                <w:sz w:val="20"/>
              </w:rPr>
              <w:t xml:space="preserve"> nach </w:t>
            </w:r>
            <w:r w:rsidR="00171E92">
              <w:rPr>
                <w:b/>
                <w:noProof/>
                <w:sz w:val="20"/>
              </w:rPr>
              <w:br/>
              <w:t>DGUV Vorschrift 3</w:t>
            </w:r>
            <w:r w:rsidRPr="00A66F3C">
              <w:rPr>
                <w:b/>
                <w:noProof/>
                <w:sz w:val="20"/>
              </w:rPr>
              <w:br/>
            </w:r>
            <w:r w:rsidRPr="00A92F85">
              <w:rPr>
                <w:noProof/>
                <w:sz w:val="20"/>
              </w:rPr>
              <w:t>(Höchstwerte)</w:t>
            </w:r>
          </w:p>
        </w:tc>
        <w:tc>
          <w:tcPr>
            <w:tcW w:w="2551" w:type="dxa"/>
            <w:tcBorders>
              <w:bottom w:val="single" w:sz="4" w:space="0" w:color="auto"/>
            </w:tcBorders>
            <w:shd w:val="clear" w:color="auto" w:fill="CCCCCC"/>
            <w:vAlign w:val="center"/>
          </w:tcPr>
          <w:p w:rsidR="00405B1F" w:rsidRPr="00A66F3C" w:rsidRDefault="00405B1F">
            <w:pPr>
              <w:spacing w:before="120" w:after="120" w:line="22" w:lineRule="atLeast"/>
              <w:jc w:val="center"/>
              <w:rPr>
                <w:b/>
                <w:noProof/>
                <w:sz w:val="20"/>
              </w:rPr>
            </w:pPr>
            <w:r w:rsidRPr="00A66F3C">
              <w:rPr>
                <w:b/>
                <w:noProof/>
                <w:sz w:val="20"/>
              </w:rPr>
              <w:t>Einsatzgebiet, Kommentare</w:t>
            </w:r>
          </w:p>
        </w:tc>
      </w:tr>
      <w:tr w:rsidR="00405B1F" w:rsidRPr="00A66F3C" w:rsidTr="00405B1F">
        <w:trPr>
          <w:cantSplit/>
          <w:trHeight w:val="1016"/>
        </w:trPr>
        <w:tc>
          <w:tcPr>
            <w:tcW w:w="2835" w:type="dxa"/>
            <w:vMerge w:val="restart"/>
          </w:tcPr>
          <w:p w:rsidR="00405B1F" w:rsidRPr="00A66F3C" w:rsidRDefault="00405B1F">
            <w:pPr>
              <w:spacing w:before="240" w:after="960" w:line="22" w:lineRule="atLeast"/>
              <w:rPr>
                <w:noProof/>
                <w:sz w:val="20"/>
              </w:rPr>
            </w:pPr>
            <w:r w:rsidRPr="00A66F3C">
              <w:rPr>
                <w:noProof/>
                <w:sz w:val="20"/>
              </w:rPr>
              <w:t xml:space="preserve">dazu zählen folgende ortsveränderliche elektrische Betriebsmittel </w:t>
            </w:r>
            <w:r w:rsidRPr="00A66F3C">
              <w:rPr>
                <w:noProof/>
                <w:sz w:val="20"/>
              </w:rPr>
              <w:br/>
              <w:t>(soweit benutzt):</w:t>
            </w:r>
          </w:p>
          <w:p w:rsidR="00405B1F" w:rsidRPr="00A66F3C" w:rsidRDefault="00405B1F">
            <w:pPr>
              <w:spacing w:before="240" w:after="960" w:line="22" w:lineRule="atLeast"/>
              <w:rPr>
                <w:noProof/>
                <w:sz w:val="20"/>
              </w:rPr>
            </w:pPr>
            <w:r w:rsidRPr="00A66F3C">
              <w:rPr>
                <w:noProof/>
                <w:sz w:val="20"/>
              </w:rPr>
              <w:t>Geräte und Maschinen</w:t>
            </w:r>
          </w:p>
          <w:p w:rsidR="00405B1F" w:rsidRPr="00A66F3C" w:rsidRDefault="00405B1F">
            <w:pPr>
              <w:pStyle w:val="Textkrper"/>
              <w:rPr>
                <w:noProof/>
                <w:sz w:val="20"/>
              </w:rPr>
            </w:pPr>
            <w:r w:rsidRPr="00A66F3C">
              <w:rPr>
                <w:noProof/>
                <w:sz w:val="20"/>
              </w:rPr>
              <w:t>Verlängerungs- und Geräteanschlussleitungen mit Steckvorrichtungen</w:t>
            </w:r>
          </w:p>
          <w:p w:rsidR="00405B1F" w:rsidRPr="00A66F3C" w:rsidRDefault="00405B1F">
            <w:pPr>
              <w:pStyle w:val="Textkrper"/>
              <w:rPr>
                <w:noProof/>
                <w:sz w:val="20"/>
              </w:rPr>
            </w:pPr>
            <w:r w:rsidRPr="00A66F3C">
              <w:rPr>
                <w:noProof/>
                <w:sz w:val="20"/>
              </w:rPr>
              <w:t xml:space="preserve">Anschlussleitungen </w:t>
            </w:r>
            <w:r w:rsidRPr="00A66F3C">
              <w:rPr>
                <w:noProof/>
                <w:sz w:val="20"/>
              </w:rPr>
              <w:br/>
              <w:t>mit Stecker</w:t>
            </w:r>
          </w:p>
          <w:p w:rsidR="00405B1F" w:rsidRPr="00A66F3C" w:rsidRDefault="00405B1F">
            <w:pPr>
              <w:spacing w:before="240" w:after="960" w:line="22" w:lineRule="atLeast"/>
              <w:rPr>
                <w:noProof/>
                <w:sz w:val="20"/>
              </w:rPr>
            </w:pPr>
            <w:r w:rsidRPr="00A66F3C">
              <w:rPr>
                <w:noProof/>
                <w:sz w:val="20"/>
              </w:rPr>
              <w:t>bewegliche Leitungen mit Stecker oder Festanschluss</w:t>
            </w:r>
          </w:p>
        </w:tc>
        <w:tc>
          <w:tcPr>
            <w:tcW w:w="2127" w:type="dxa"/>
            <w:vAlign w:val="center"/>
          </w:tcPr>
          <w:p w:rsidR="00405B1F" w:rsidRPr="00A66F3C" w:rsidRDefault="00405B1F" w:rsidP="00A36F8C">
            <w:pPr>
              <w:spacing w:before="100" w:after="100" w:line="22" w:lineRule="atLeast"/>
              <w:jc w:val="center"/>
              <w:rPr>
                <w:noProof/>
                <w:sz w:val="20"/>
              </w:rPr>
            </w:pPr>
            <w:r>
              <w:rPr>
                <w:noProof/>
                <w:sz w:val="20"/>
              </w:rPr>
              <w:t>1 Jahr</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 xml:space="preserve">Richtwert </w:t>
            </w:r>
            <w:r w:rsidRPr="00A66F3C">
              <w:rPr>
                <w:noProof/>
                <w:sz w:val="20"/>
              </w:rPr>
              <w:br/>
              <w:t>allgemein</w:t>
            </w:r>
            <w:r w:rsidRPr="00A66F3C">
              <w:rPr>
                <w:noProof/>
                <w:sz w:val="20"/>
              </w:rPr>
              <w:br/>
              <w:t>6 Monate</w:t>
            </w:r>
          </w:p>
        </w:tc>
        <w:tc>
          <w:tcPr>
            <w:tcW w:w="2551" w:type="dxa"/>
            <w:vAlign w:val="center"/>
          </w:tcPr>
          <w:p w:rsidR="00405B1F" w:rsidRPr="00A66F3C" w:rsidRDefault="00405B1F">
            <w:pPr>
              <w:spacing w:before="100" w:after="100" w:line="22" w:lineRule="atLeast"/>
              <w:rPr>
                <w:noProof/>
                <w:sz w:val="20"/>
              </w:rPr>
            </w:pPr>
            <w:r w:rsidRPr="00A66F3C">
              <w:rPr>
                <w:noProof/>
                <w:sz w:val="20"/>
              </w:rPr>
              <w:t>Bei Prüfungen mit Fehlerquote &lt;</w:t>
            </w:r>
            <w:r>
              <w:rPr>
                <w:noProof/>
                <w:sz w:val="20"/>
              </w:rPr>
              <w:t xml:space="preserve"> </w:t>
            </w:r>
            <w:r w:rsidRPr="00A66F3C">
              <w:rPr>
                <w:noProof/>
                <w:sz w:val="20"/>
              </w:rPr>
              <w:t xml:space="preserve">2 % </w:t>
            </w:r>
            <w:r w:rsidRPr="00A66F3C">
              <w:rPr>
                <w:noProof/>
                <w:sz w:val="20"/>
              </w:rPr>
              <w:br/>
              <w:t>Prüffristverlängerung möglich</w:t>
            </w:r>
          </w:p>
        </w:tc>
      </w:tr>
      <w:tr w:rsidR="00405B1F" w:rsidRPr="00A66F3C" w:rsidTr="00405B1F">
        <w:trPr>
          <w:cantSplit/>
          <w:trHeight w:val="822"/>
        </w:trPr>
        <w:tc>
          <w:tcPr>
            <w:tcW w:w="2835" w:type="dxa"/>
            <w:vMerge/>
            <w:vAlign w:val="center"/>
          </w:tcPr>
          <w:p w:rsidR="00405B1F" w:rsidRPr="00A66F3C" w:rsidRDefault="00405B1F">
            <w:pPr>
              <w:numPr>
                <w:ilvl w:val="0"/>
                <w:numId w:val="15"/>
              </w:numPr>
              <w:spacing w:before="100" w:after="100" w:line="22" w:lineRule="atLeast"/>
              <w:rPr>
                <w:noProof/>
                <w:sz w:val="20"/>
              </w:rPr>
            </w:pPr>
          </w:p>
        </w:tc>
        <w:tc>
          <w:tcPr>
            <w:tcW w:w="2127" w:type="dxa"/>
            <w:vAlign w:val="center"/>
          </w:tcPr>
          <w:p w:rsidR="00405B1F" w:rsidRPr="00A66F3C" w:rsidRDefault="00405B1F" w:rsidP="00A36F8C">
            <w:pPr>
              <w:spacing w:before="100" w:after="100" w:line="22" w:lineRule="atLeast"/>
              <w:jc w:val="center"/>
              <w:rPr>
                <w:noProof/>
                <w:sz w:val="20"/>
              </w:rPr>
            </w:pPr>
            <w:r w:rsidRPr="00A66F3C">
              <w:rPr>
                <w:noProof/>
                <w:sz w:val="20"/>
              </w:rPr>
              <w:t>1 Jahr</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1 Jahr</w:t>
            </w:r>
          </w:p>
        </w:tc>
        <w:tc>
          <w:tcPr>
            <w:tcW w:w="2551" w:type="dxa"/>
            <w:vAlign w:val="center"/>
          </w:tcPr>
          <w:p w:rsidR="00405B1F" w:rsidRPr="00A66F3C" w:rsidRDefault="00405B1F" w:rsidP="00E827B9">
            <w:pPr>
              <w:numPr>
                <w:ilvl w:val="0"/>
                <w:numId w:val="17"/>
              </w:numPr>
              <w:tabs>
                <w:tab w:val="num" w:pos="720"/>
              </w:tabs>
              <w:spacing w:before="100" w:after="100" w:line="22" w:lineRule="atLeast"/>
              <w:rPr>
                <w:noProof/>
                <w:sz w:val="20"/>
              </w:rPr>
            </w:pPr>
            <w:r w:rsidRPr="00A66F3C">
              <w:rPr>
                <w:noProof/>
                <w:sz w:val="20"/>
              </w:rPr>
              <w:t>Fertigungsstätten</w:t>
            </w:r>
          </w:p>
          <w:p w:rsidR="00405B1F" w:rsidRPr="00A66F3C" w:rsidRDefault="00405B1F" w:rsidP="00E827B9">
            <w:pPr>
              <w:numPr>
                <w:ilvl w:val="0"/>
                <w:numId w:val="17"/>
              </w:numPr>
              <w:tabs>
                <w:tab w:val="num" w:pos="720"/>
              </w:tabs>
              <w:spacing w:before="100" w:after="100" w:line="22" w:lineRule="atLeast"/>
              <w:rPr>
                <w:noProof/>
                <w:sz w:val="20"/>
              </w:rPr>
            </w:pPr>
            <w:r w:rsidRPr="00A66F3C">
              <w:rPr>
                <w:noProof/>
                <w:sz w:val="20"/>
              </w:rPr>
              <w:t>Werkstätten</w:t>
            </w:r>
          </w:p>
          <w:p w:rsidR="00405B1F" w:rsidRPr="00A66F3C" w:rsidRDefault="00405B1F" w:rsidP="00E827B9">
            <w:pPr>
              <w:numPr>
                <w:ilvl w:val="0"/>
                <w:numId w:val="17"/>
              </w:numPr>
              <w:tabs>
                <w:tab w:val="num" w:pos="720"/>
              </w:tabs>
              <w:spacing w:before="100" w:after="100" w:line="22" w:lineRule="atLeast"/>
              <w:rPr>
                <w:noProof/>
                <w:sz w:val="20"/>
              </w:rPr>
            </w:pPr>
            <w:r w:rsidRPr="00A66F3C">
              <w:rPr>
                <w:noProof/>
                <w:sz w:val="20"/>
              </w:rPr>
              <w:t xml:space="preserve">ähnliche </w:t>
            </w:r>
            <w:r w:rsidRPr="00A66F3C">
              <w:rPr>
                <w:noProof/>
                <w:sz w:val="20"/>
              </w:rPr>
              <w:br/>
              <w:t>Bedingungen</w:t>
            </w:r>
          </w:p>
        </w:tc>
      </w:tr>
      <w:tr w:rsidR="00405B1F" w:rsidRPr="00A66F3C" w:rsidTr="00405B1F">
        <w:trPr>
          <w:cantSplit/>
          <w:trHeight w:val="876"/>
        </w:trPr>
        <w:tc>
          <w:tcPr>
            <w:tcW w:w="2835" w:type="dxa"/>
            <w:vMerge/>
            <w:vAlign w:val="center"/>
          </w:tcPr>
          <w:p w:rsidR="00405B1F" w:rsidRPr="00A66F3C" w:rsidRDefault="00405B1F">
            <w:pPr>
              <w:numPr>
                <w:ilvl w:val="0"/>
                <w:numId w:val="15"/>
              </w:numPr>
              <w:spacing w:before="100" w:after="100" w:line="22" w:lineRule="atLeast"/>
              <w:rPr>
                <w:noProof/>
                <w:sz w:val="20"/>
              </w:rPr>
            </w:pPr>
          </w:p>
        </w:tc>
        <w:tc>
          <w:tcPr>
            <w:tcW w:w="2127" w:type="dxa"/>
            <w:vAlign w:val="center"/>
          </w:tcPr>
          <w:p w:rsidR="00405B1F" w:rsidRPr="00A66F3C" w:rsidRDefault="00405B1F" w:rsidP="00A36F8C">
            <w:pPr>
              <w:spacing w:before="100" w:after="100" w:line="22" w:lineRule="atLeast"/>
              <w:jc w:val="center"/>
              <w:rPr>
                <w:noProof/>
                <w:sz w:val="20"/>
              </w:rPr>
            </w:pPr>
            <w:r w:rsidRPr="00A66F3C">
              <w:rPr>
                <w:noProof/>
                <w:sz w:val="20"/>
              </w:rPr>
              <w:t>2 Jahre</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2 Jahre</w:t>
            </w:r>
          </w:p>
        </w:tc>
        <w:tc>
          <w:tcPr>
            <w:tcW w:w="2551" w:type="dxa"/>
            <w:vAlign w:val="center"/>
          </w:tcPr>
          <w:p w:rsidR="00405B1F" w:rsidRPr="00A66F3C" w:rsidRDefault="00405B1F" w:rsidP="00E827B9">
            <w:pPr>
              <w:numPr>
                <w:ilvl w:val="0"/>
                <w:numId w:val="18"/>
              </w:numPr>
              <w:tabs>
                <w:tab w:val="num" w:pos="720"/>
              </w:tabs>
              <w:spacing w:before="100" w:after="100" w:line="22" w:lineRule="atLeast"/>
              <w:rPr>
                <w:noProof/>
                <w:sz w:val="20"/>
              </w:rPr>
            </w:pPr>
            <w:r w:rsidRPr="00A66F3C">
              <w:rPr>
                <w:noProof/>
                <w:sz w:val="20"/>
              </w:rPr>
              <w:t>Büros</w:t>
            </w:r>
          </w:p>
          <w:p w:rsidR="00405B1F" w:rsidRPr="00A66F3C" w:rsidRDefault="00405B1F" w:rsidP="00E827B9">
            <w:pPr>
              <w:spacing w:before="100" w:after="100" w:line="22" w:lineRule="atLeast"/>
              <w:ind w:left="355"/>
              <w:rPr>
                <w:noProof/>
                <w:sz w:val="20"/>
              </w:rPr>
            </w:pPr>
            <w:r w:rsidRPr="00A66F3C">
              <w:rPr>
                <w:noProof/>
                <w:sz w:val="20"/>
              </w:rPr>
              <w:t xml:space="preserve">ähnliche </w:t>
            </w:r>
            <w:r w:rsidRPr="00A66F3C">
              <w:rPr>
                <w:noProof/>
                <w:sz w:val="20"/>
              </w:rPr>
              <w:br/>
              <w:t>Bedingungen</w:t>
            </w:r>
          </w:p>
        </w:tc>
      </w:tr>
      <w:tr w:rsidR="00405B1F" w:rsidRPr="00A66F3C" w:rsidTr="00E44A57">
        <w:trPr>
          <w:cantSplit/>
          <w:trHeight w:val="500"/>
        </w:trPr>
        <w:tc>
          <w:tcPr>
            <w:tcW w:w="2835" w:type="dxa"/>
            <w:vMerge/>
            <w:vAlign w:val="center"/>
          </w:tcPr>
          <w:p w:rsidR="00405B1F" w:rsidRPr="00A66F3C" w:rsidRDefault="00405B1F">
            <w:pPr>
              <w:numPr>
                <w:ilvl w:val="0"/>
                <w:numId w:val="15"/>
              </w:numPr>
              <w:spacing w:before="100" w:after="100" w:line="22" w:lineRule="atLeast"/>
              <w:rPr>
                <w:noProof/>
                <w:sz w:val="20"/>
              </w:rPr>
            </w:pPr>
          </w:p>
        </w:tc>
        <w:tc>
          <w:tcPr>
            <w:tcW w:w="2127" w:type="dxa"/>
            <w:vAlign w:val="center"/>
          </w:tcPr>
          <w:p w:rsidR="00405B1F" w:rsidRPr="00A66F3C" w:rsidRDefault="00405B1F" w:rsidP="00405B1F">
            <w:pPr>
              <w:spacing w:before="100" w:after="100" w:line="22" w:lineRule="atLeast"/>
              <w:jc w:val="center"/>
              <w:rPr>
                <w:noProof/>
                <w:sz w:val="20"/>
              </w:rPr>
            </w:pPr>
            <w:r>
              <w:rPr>
                <w:noProof/>
                <w:sz w:val="20"/>
              </w:rPr>
              <w:t>3 Monate</w:t>
            </w:r>
          </w:p>
        </w:tc>
        <w:tc>
          <w:tcPr>
            <w:tcW w:w="4678" w:type="dxa"/>
            <w:gridSpan w:val="2"/>
            <w:vAlign w:val="center"/>
          </w:tcPr>
          <w:p w:rsidR="00405B1F" w:rsidRPr="00A66F3C" w:rsidRDefault="00405B1F" w:rsidP="00405B1F">
            <w:pPr>
              <w:spacing w:before="100" w:after="100" w:line="22" w:lineRule="atLeast"/>
              <w:jc w:val="center"/>
              <w:rPr>
                <w:noProof/>
                <w:sz w:val="20"/>
              </w:rPr>
            </w:pPr>
            <w:r w:rsidRPr="00A66F3C">
              <w:rPr>
                <w:noProof/>
                <w:sz w:val="20"/>
              </w:rPr>
              <w:t>Baustellen</w:t>
            </w:r>
            <w:r w:rsidRPr="00A66F3C">
              <w:rPr>
                <w:noProof/>
                <w:sz w:val="20"/>
                <w:vertAlign w:val="superscript"/>
              </w:rPr>
              <w:t>1)</w:t>
            </w:r>
          </w:p>
        </w:tc>
      </w:tr>
      <w:tr w:rsidR="00405B1F" w:rsidRPr="00A66F3C" w:rsidTr="00405B1F">
        <w:trPr>
          <w:cantSplit/>
          <w:trHeight w:val="875"/>
        </w:trPr>
        <w:tc>
          <w:tcPr>
            <w:tcW w:w="2835" w:type="dxa"/>
            <w:vMerge/>
            <w:vAlign w:val="center"/>
          </w:tcPr>
          <w:p w:rsidR="00405B1F" w:rsidRPr="00A66F3C" w:rsidRDefault="00405B1F">
            <w:pPr>
              <w:numPr>
                <w:ilvl w:val="0"/>
                <w:numId w:val="15"/>
              </w:numPr>
              <w:spacing w:before="100" w:after="100" w:line="22" w:lineRule="atLeast"/>
              <w:rPr>
                <w:noProof/>
                <w:sz w:val="20"/>
              </w:rPr>
            </w:pPr>
          </w:p>
        </w:tc>
        <w:tc>
          <w:tcPr>
            <w:tcW w:w="2127" w:type="dxa"/>
            <w:vAlign w:val="center"/>
          </w:tcPr>
          <w:p w:rsidR="00405B1F" w:rsidRPr="00A66F3C" w:rsidRDefault="00405B1F" w:rsidP="00A36F8C">
            <w:pPr>
              <w:spacing w:before="100" w:after="100" w:line="22" w:lineRule="atLeast"/>
              <w:jc w:val="center"/>
              <w:rPr>
                <w:noProof/>
                <w:sz w:val="20"/>
              </w:rPr>
            </w:pPr>
            <w:r>
              <w:rPr>
                <w:noProof/>
                <w:sz w:val="20"/>
              </w:rPr>
              <w:t>–-</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 xml:space="preserve">bei hoher </w:t>
            </w:r>
            <w:r w:rsidRPr="00A66F3C">
              <w:rPr>
                <w:noProof/>
                <w:sz w:val="20"/>
              </w:rPr>
              <w:br/>
              <w:t>Beanspruchung: wöchentlich</w:t>
            </w:r>
          </w:p>
        </w:tc>
        <w:tc>
          <w:tcPr>
            <w:tcW w:w="2551" w:type="dxa"/>
            <w:vAlign w:val="center"/>
          </w:tcPr>
          <w:p w:rsidR="00405B1F" w:rsidRPr="00A66F3C" w:rsidRDefault="00405B1F">
            <w:pPr>
              <w:spacing w:before="100" w:after="100" w:line="22" w:lineRule="atLeast"/>
              <w:rPr>
                <w:noProof/>
                <w:sz w:val="20"/>
                <w:highlight w:val="yellow"/>
              </w:rPr>
            </w:pPr>
            <w:r w:rsidRPr="00A66F3C">
              <w:rPr>
                <w:noProof/>
                <w:sz w:val="20"/>
              </w:rPr>
              <w:t>z.B. Schleifen von Metallen (Aluminium, Magnesium, gefettete Bleche), Verwendung in Bereichen mit leitfähigen Stäuben</w:t>
            </w:r>
          </w:p>
        </w:tc>
      </w:tr>
      <w:tr w:rsidR="00405B1F" w:rsidRPr="00A66F3C" w:rsidTr="00405B1F">
        <w:trPr>
          <w:cantSplit/>
          <w:trHeight w:val="875"/>
        </w:trPr>
        <w:tc>
          <w:tcPr>
            <w:tcW w:w="2835" w:type="dxa"/>
            <w:vMerge/>
            <w:vAlign w:val="center"/>
          </w:tcPr>
          <w:p w:rsidR="00405B1F" w:rsidRPr="00A66F3C" w:rsidRDefault="00405B1F">
            <w:pPr>
              <w:spacing w:before="100" w:after="100" w:line="22" w:lineRule="atLeast"/>
              <w:rPr>
                <w:noProof/>
                <w:sz w:val="20"/>
              </w:rPr>
            </w:pPr>
          </w:p>
        </w:tc>
        <w:tc>
          <w:tcPr>
            <w:tcW w:w="2127" w:type="dxa"/>
            <w:vAlign w:val="center"/>
          </w:tcPr>
          <w:p w:rsidR="00405B1F" w:rsidRPr="00A66F3C" w:rsidRDefault="00405B1F" w:rsidP="00A36F8C">
            <w:pPr>
              <w:spacing w:before="100" w:after="100" w:line="22" w:lineRule="atLeast"/>
              <w:jc w:val="center"/>
              <w:rPr>
                <w:noProof/>
                <w:sz w:val="20"/>
              </w:rPr>
            </w:pPr>
            <w:r>
              <w:rPr>
                <w:noProof/>
                <w:sz w:val="20"/>
              </w:rPr>
              <w:t>–-</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 xml:space="preserve">bei hoher </w:t>
            </w:r>
            <w:r w:rsidRPr="00A66F3C">
              <w:rPr>
                <w:noProof/>
                <w:sz w:val="20"/>
              </w:rPr>
              <w:br/>
              <w:t>Beanspruchung:</w:t>
            </w:r>
            <w:r w:rsidRPr="00A66F3C">
              <w:rPr>
                <w:noProof/>
                <w:sz w:val="20"/>
              </w:rPr>
              <w:br/>
              <w:t>3 Monate</w:t>
            </w:r>
          </w:p>
        </w:tc>
        <w:tc>
          <w:tcPr>
            <w:tcW w:w="2551" w:type="dxa"/>
            <w:vAlign w:val="center"/>
          </w:tcPr>
          <w:p w:rsidR="00405B1F" w:rsidRPr="00A66F3C" w:rsidRDefault="00405B1F">
            <w:pPr>
              <w:spacing w:before="100" w:after="100" w:line="22" w:lineRule="atLeast"/>
              <w:rPr>
                <w:noProof/>
                <w:sz w:val="20"/>
                <w:highlight w:val="yellow"/>
              </w:rPr>
            </w:pPr>
            <w:r w:rsidRPr="00A66F3C">
              <w:rPr>
                <w:noProof/>
                <w:sz w:val="20"/>
              </w:rPr>
              <w:t>z.B. Nassschleifen von nicht</w:t>
            </w:r>
            <w:r>
              <w:rPr>
                <w:noProof/>
                <w:sz w:val="20"/>
              </w:rPr>
              <w:t xml:space="preserve"> </w:t>
            </w:r>
            <w:r w:rsidRPr="00A66F3C">
              <w:rPr>
                <w:noProof/>
                <w:sz w:val="20"/>
              </w:rPr>
              <w:t>leitfähigen Materialien, Kernbohren, Stahlbau, Tunnel- und Stollenbau</w:t>
            </w:r>
          </w:p>
        </w:tc>
      </w:tr>
      <w:tr w:rsidR="00405B1F" w:rsidRPr="00A66F3C" w:rsidTr="00405B1F">
        <w:trPr>
          <w:cantSplit/>
          <w:trHeight w:val="875"/>
        </w:trPr>
        <w:tc>
          <w:tcPr>
            <w:tcW w:w="2835" w:type="dxa"/>
            <w:vMerge/>
            <w:vAlign w:val="center"/>
          </w:tcPr>
          <w:p w:rsidR="00405B1F" w:rsidRPr="00A66F3C" w:rsidRDefault="00405B1F">
            <w:pPr>
              <w:spacing w:before="100" w:after="100" w:line="22" w:lineRule="atLeast"/>
              <w:rPr>
                <w:noProof/>
                <w:sz w:val="20"/>
              </w:rPr>
            </w:pPr>
          </w:p>
        </w:tc>
        <w:tc>
          <w:tcPr>
            <w:tcW w:w="2127" w:type="dxa"/>
            <w:vAlign w:val="center"/>
          </w:tcPr>
          <w:p w:rsidR="00405B1F" w:rsidRPr="00A66F3C" w:rsidRDefault="00405B1F" w:rsidP="00A36F8C">
            <w:pPr>
              <w:spacing w:before="100" w:after="100" w:line="22" w:lineRule="atLeast"/>
              <w:jc w:val="center"/>
              <w:rPr>
                <w:noProof/>
                <w:sz w:val="20"/>
              </w:rPr>
            </w:pPr>
            <w:r>
              <w:rPr>
                <w:noProof/>
                <w:sz w:val="20"/>
              </w:rPr>
              <w:t>–-</w:t>
            </w:r>
          </w:p>
        </w:tc>
        <w:tc>
          <w:tcPr>
            <w:tcW w:w="2127" w:type="dxa"/>
            <w:vAlign w:val="center"/>
          </w:tcPr>
          <w:p w:rsidR="00405B1F" w:rsidRPr="00A66F3C" w:rsidRDefault="00405B1F">
            <w:pPr>
              <w:spacing w:before="100" w:after="100" w:line="22" w:lineRule="atLeast"/>
              <w:jc w:val="center"/>
              <w:rPr>
                <w:noProof/>
                <w:sz w:val="20"/>
              </w:rPr>
            </w:pPr>
            <w:r w:rsidRPr="00A66F3C">
              <w:rPr>
                <w:noProof/>
                <w:sz w:val="20"/>
              </w:rPr>
              <w:t xml:space="preserve">bei normaler </w:t>
            </w:r>
            <w:r w:rsidRPr="00A66F3C">
              <w:rPr>
                <w:noProof/>
                <w:sz w:val="20"/>
              </w:rPr>
              <w:br/>
              <w:t>Beanspruchung:</w:t>
            </w:r>
            <w:r w:rsidRPr="00A66F3C">
              <w:rPr>
                <w:noProof/>
                <w:sz w:val="20"/>
              </w:rPr>
              <w:br/>
              <w:t>6 Monate</w:t>
            </w:r>
          </w:p>
        </w:tc>
        <w:tc>
          <w:tcPr>
            <w:tcW w:w="2551" w:type="dxa"/>
            <w:vAlign w:val="center"/>
          </w:tcPr>
          <w:p w:rsidR="00405B1F" w:rsidRPr="00A66F3C" w:rsidRDefault="00405B1F">
            <w:pPr>
              <w:spacing w:before="100" w:after="100" w:line="22" w:lineRule="atLeast"/>
              <w:rPr>
                <w:noProof/>
                <w:sz w:val="20"/>
                <w:highlight w:val="yellow"/>
              </w:rPr>
            </w:pPr>
            <w:r w:rsidRPr="00A66F3C">
              <w:rPr>
                <w:noProof/>
                <w:sz w:val="20"/>
              </w:rPr>
              <w:t>z.B. Hochbau, allgemeiner Tiefbau</w:t>
            </w:r>
          </w:p>
        </w:tc>
      </w:tr>
      <w:tr w:rsidR="00405B1F" w:rsidRPr="00A66F3C" w:rsidTr="00405B1F">
        <w:trPr>
          <w:cantSplit/>
          <w:trHeight w:val="875"/>
        </w:trPr>
        <w:tc>
          <w:tcPr>
            <w:tcW w:w="2835" w:type="dxa"/>
            <w:vMerge/>
            <w:tcBorders>
              <w:bottom w:val="single" w:sz="4" w:space="0" w:color="auto"/>
            </w:tcBorders>
            <w:vAlign w:val="center"/>
          </w:tcPr>
          <w:p w:rsidR="00405B1F" w:rsidRPr="00A66F3C" w:rsidRDefault="00405B1F">
            <w:pPr>
              <w:spacing w:before="100" w:after="100" w:line="22" w:lineRule="atLeast"/>
              <w:rPr>
                <w:noProof/>
                <w:sz w:val="20"/>
              </w:rPr>
            </w:pPr>
          </w:p>
        </w:tc>
        <w:tc>
          <w:tcPr>
            <w:tcW w:w="2127" w:type="dxa"/>
            <w:tcBorders>
              <w:bottom w:val="single" w:sz="4" w:space="0" w:color="auto"/>
            </w:tcBorders>
            <w:vAlign w:val="center"/>
          </w:tcPr>
          <w:p w:rsidR="00405B1F" w:rsidRPr="00A66F3C" w:rsidRDefault="00405B1F" w:rsidP="00A36F8C">
            <w:pPr>
              <w:spacing w:before="100" w:after="100" w:line="22" w:lineRule="atLeast"/>
              <w:jc w:val="center"/>
              <w:rPr>
                <w:noProof/>
                <w:sz w:val="20"/>
              </w:rPr>
            </w:pPr>
            <w:r>
              <w:rPr>
                <w:noProof/>
                <w:sz w:val="20"/>
              </w:rPr>
              <w:t>–-</w:t>
            </w:r>
          </w:p>
        </w:tc>
        <w:tc>
          <w:tcPr>
            <w:tcW w:w="2127" w:type="dxa"/>
            <w:tcBorders>
              <w:bottom w:val="single" w:sz="4" w:space="0" w:color="auto"/>
            </w:tcBorders>
            <w:vAlign w:val="center"/>
          </w:tcPr>
          <w:p w:rsidR="00405B1F" w:rsidRPr="00A66F3C" w:rsidRDefault="00405B1F">
            <w:pPr>
              <w:spacing w:before="100" w:after="100" w:line="22" w:lineRule="atLeast"/>
              <w:jc w:val="center"/>
              <w:rPr>
                <w:noProof/>
                <w:sz w:val="20"/>
              </w:rPr>
            </w:pPr>
            <w:r w:rsidRPr="00A66F3C">
              <w:rPr>
                <w:noProof/>
                <w:sz w:val="20"/>
              </w:rPr>
              <w:t xml:space="preserve">bei normaler </w:t>
            </w:r>
            <w:r w:rsidRPr="00A66F3C">
              <w:rPr>
                <w:noProof/>
                <w:sz w:val="20"/>
              </w:rPr>
              <w:br/>
              <w:t>Beanspruchung:</w:t>
            </w:r>
            <w:r w:rsidRPr="00A66F3C">
              <w:rPr>
                <w:noProof/>
                <w:sz w:val="20"/>
              </w:rPr>
              <w:br/>
              <w:t>6 Monate</w:t>
            </w:r>
          </w:p>
        </w:tc>
        <w:tc>
          <w:tcPr>
            <w:tcW w:w="2551" w:type="dxa"/>
            <w:tcBorders>
              <w:bottom w:val="single" w:sz="4" w:space="0" w:color="auto"/>
            </w:tcBorders>
            <w:vAlign w:val="center"/>
          </w:tcPr>
          <w:p w:rsidR="00405B1F" w:rsidRPr="00A66F3C" w:rsidRDefault="00405B1F">
            <w:pPr>
              <w:spacing w:before="100" w:after="100" w:line="22" w:lineRule="atLeast"/>
              <w:rPr>
                <w:noProof/>
                <w:sz w:val="20"/>
                <w:highlight w:val="yellow"/>
              </w:rPr>
            </w:pPr>
            <w:r w:rsidRPr="00A66F3C">
              <w:rPr>
                <w:noProof/>
                <w:sz w:val="20"/>
              </w:rPr>
              <w:t>Elektroinstallation, Sanitär- und Heizungsbau, Holzbau</w:t>
            </w:r>
          </w:p>
        </w:tc>
      </w:tr>
    </w:tbl>
    <w:p w:rsidR="003B4FE1" w:rsidRPr="00A66F3C" w:rsidRDefault="003B4FE1" w:rsidP="00CE2719">
      <w:pPr>
        <w:pStyle w:val="Endnotentext"/>
        <w:tabs>
          <w:tab w:val="left" w:pos="4820"/>
        </w:tabs>
        <w:spacing w:before="120"/>
        <w:ind w:left="425" w:hanging="425"/>
        <w:rPr>
          <w:noProof/>
          <w:sz w:val="18"/>
          <w:szCs w:val="18"/>
        </w:rPr>
      </w:pPr>
      <w:r w:rsidRPr="00A66F3C">
        <w:rPr>
          <w:noProof/>
          <w:sz w:val="18"/>
          <w:szCs w:val="18"/>
          <w:vertAlign w:val="superscript"/>
        </w:rPr>
        <w:t>1)</w:t>
      </w:r>
      <w:r w:rsidRPr="00A66F3C">
        <w:rPr>
          <w:noProof/>
          <w:sz w:val="18"/>
          <w:szCs w:val="18"/>
          <w:vertAlign w:val="superscript"/>
        </w:rPr>
        <w:tab/>
      </w:r>
      <w:r w:rsidRPr="00A66F3C">
        <w:rPr>
          <w:noProof/>
          <w:sz w:val="18"/>
          <w:szCs w:val="18"/>
        </w:rPr>
        <w:t xml:space="preserve">Genaue Erläuterungen hierzu finden Sie in der </w:t>
      </w:r>
      <w:r w:rsidR="00292BBD" w:rsidRPr="00292BBD">
        <w:rPr>
          <w:noProof/>
          <w:sz w:val="18"/>
          <w:szCs w:val="18"/>
        </w:rPr>
        <w:t>DGUV Information 203-006</w:t>
      </w:r>
      <w:r w:rsidRPr="00A66F3C">
        <w:rPr>
          <w:noProof/>
          <w:sz w:val="18"/>
          <w:szCs w:val="18"/>
        </w:rPr>
        <w:t xml:space="preserve">: </w:t>
      </w:r>
      <w:r w:rsidRPr="00A66F3C">
        <w:rPr>
          <w:noProof/>
          <w:sz w:val="18"/>
          <w:szCs w:val="18"/>
        </w:rPr>
        <w:br/>
        <w:t>„Regeln für Sicherheit und Gesundheitsschutz – Auswahl und Betrieb elektrischer Anlagen und Betriebsmittel auf Baustellen“</w:t>
      </w:r>
    </w:p>
    <w:p w:rsidR="007B6B63" w:rsidRDefault="003B4FE1">
      <w:pPr>
        <w:pStyle w:val="Endnotentext"/>
        <w:keepNext/>
        <w:tabs>
          <w:tab w:val="left" w:pos="4820"/>
        </w:tabs>
        <w:spacing w:before="120"/>
        <w:rPr>
          <w:noProof/>
          <w:sz w:val="20"/>
        </w:rPr>
      </w:pPr>
      <w:r w:rsidRPr="00A66F3C">
        <w:rPr>
          <w:noProof/>
          <w:sz w:val="20"/>
        </w:rPr>
        <w:lastRenderedPageBreak/>
        <w:t>Die obige Tabelle enthält Richtwerte, die als ausreichende Fristen angesehen werden können, solange die Fehlerquote 2 % nicht übersteigt. Diese Prüffristen gelten zudem für Geräte, die unter normalen Beanspruchungen zum Einsatz kommen. Sind die Belastungen durch Temperatur, Staub, Feuchtigkeit o</w:t>
      </w:r>
      <w:r w:rsidR="00C70DD5">
        <w:rPr>
          <w:noProof/>
          <w:sz w:val="20"/>
        </w:rPr>
        <w:t>der ähnliche</w:t>
      </w:r>
      <w:r w:rsidRPr="00A66F3C">
        <w:rPr>
          <w:noProof/>
          <w:sz w:val="20"/>
        </w:rPr>
        <w:t xml:space="preserve"> Umgebungseinflüsse erhöht, so sollten die Fristen zur Prüfung derart belasteter Anlagen und Betriebsmittel verkürzt werden.</w:t>
      </w:r>
    </w:p>
    <w:p w:rsidR="00836F87" w:rsidRDefault="00836F87" w:rsidP="00836F87">
      <w:pPr>
        <w:autoSpaceDE w:val="0"/>
        <w:autoSpaceDN w:val="0"/>
        <w:adjustRightInd w:val="0"/>
        <w:spacing w:after="60"/>
        <w:rPr>
          <w:b/>
          <w:sz w:val="28"/>
          <w:szCs w:val="28"/>
        </w:rPr>
      </w:pPr>
    </w:p>
    <w:p w:rsidR="00836F87" w:rsidRDefault="00836F87" w:rsidP="00836F87">
      <w:pPr>
        <w:autoSpaceDE w:val="0"/>
        <w:autoSpaceDN w:val="0"/>
        <w:adjustRightInd w:val="0"/>
        <w:spacing w:after="60"/>
        <w:rPr>
          <w:b/>
          <w:sz w:val="28"/>
          <w:szCs w:val="28"/>
        </w:rPr>
      </w:pPr>
      <w:r w:rsidRPr="00302137">
        <w:rPr>
          <w:b/>
          <w:sz w:val="28"/>
          <w:szCs w:val="28"/>
        </w:rPr>
        <w:t>Betriebssicherheitsverordnung</w:t>
      </w:r>
    </w:p>
    <w:p w:rsidR="00836F87" w:rsidRPr="00C70DD5" w:rsidRDefault="00C70DD5" w:rsidP="00FE6E5C">
      <w:pPr>
        <w:autoSpaceDE w:val="0"/>
        <w:autoSpaceDN w:val="0"/>
        <w:adjustRightInd w:val="0"/>
        <w:spacing w:after="120"/>
        <w:rPr>
          <w:b/>
          <w:i/>
          <w:sz w:val="24"/>
          <w:szCs w:val="24"/>
        </w:rPr>
      </w:pPr>
      <w:r w:rsidRPr="00C70DD5">
        <w:rPr>
          <w:i/>
          <w:sz w:val="24"/>
          <w:szCs w:val="24"/>
        </w:rPr>
        <w:t>„</w:t>
      </w:r>
      <w:r w:rsidR="00836F87" w:rsidRPr="00C70DD5">
        <w:rPr>
          <w:b/>
          <w:i/>
          <w:sz w:val="24"/>
          <w:szCs w:val="24"/>
        </w:rPr>
        <w:t>§ 3 Gefährdungsbeurteilung</w:t>
      </w:r>
    </w:p>
    <w:p w:rsidR="00836F87" w:rsidRPr="00C70DD5" w:rsidRDefault="00836F87" w:rsidP="00FE6E5C">
      <w:pPr>
        <w:autoSpaceDE w:val="0"/>
        <w:autoSpaceDN w:val="0"/>
        <w:adjustRightInd w:val="0"/>
        <w:spacing w:after="120"/>
        <w:rPr>
          <w:i/>
          <w:noProof/>
          <w:sz w:val="20"/>
        </w:rPr>
      </w:pPr>
      <w:r w:rsidRPr="00C70DD5">
        <w:rPr>
          <w:i/>
          <w:noProof/>
          <w:sz w:val="20"/>
        </w:rPr>
        <w:t>(1) Der Arbeitgeber hat bei der Gefährdungsbeurteilung nach § 5 des Arbeitsschutzgesetzes unter Berücksichtigung der Anhänge 1 bis 5, des § 7 der Gefahrstoffverordnung und der allgemeinen Grundsätze des § 4 des Arbeitsschutzgesetzes die notwendigen Maßnahmen für die sichere Bereitstellung und Benutzung der Arbeitsmittel zu ermitteln. Dabei hat er insbesondere die Gefährdungen zu berücksichtigen, die mit der Benutzung des Arbeitsmittels selbst verbunden sind und die am Arbeitsplatz durch Wechselwirkungen der Arbeitsmittel untereinander oder mit Arbeitsstoffen oder der Arbeitsumgebung hervorgerufen werden.</w:t>
      </w:r>
    </w:p>
    <w:p w:rsidR="00836F87" w:rsidRPr="00C70DD5" w:rsidRDefault="00836F87" w:rsidP="00FE6E5C">
      <w:pPr>
        <w:autoSpaceDE w:val="0"/>
        <w:autoSpaceDN w:val="0"/>
        <w:adjustRightInd w:val="0"/>
        <w:spacing w:after="120"/>
        <w:rPr>
          <w:i/>
          <w:noProof/>
          <w:sz w:val="20"/>
        </w:rPr>
      </w:pPr>
      <w:r w:rsidRPr="00C70DD5">
        <w:rPr>
          <w:i/>
          <w:noProof/>
          <w:sz w:val="20"/>
        </w:rPr>
        <w:t>(2) Kann nach den Bestimmungen der §§ 7 und 12 der Gefahrstoffverordnung die Bildung gefährlicher explosionsfähiger Atmosphären nicht sicher verhindert werden, hat der Arbeitgeber zu beurteilen</w:t>
      </w:r>
    </w:p>
    <w:p w:rsidR="00836F87" w:rsidRPr="00C70DD5" w:rsidRDefault="00836F87" w:rsidP="00836F87">
      <w:pPr>
        <w:autoSpaceDE w:val="0"/>
        <w:autoSpaceDN w:val="0"/>
        <w:adjustRightInd w:val="0"/>
        <w:spacing w:after="60"/>
        <w:rPr>
          <w:i/>
          <w:noProof/>
          <w:sz w:val="20"/>
        </w:rPr>
      </w:pPr>
      <w:r w:rsidRPr="00C70DD5">
        <w:rPr>
          <w:i/>
          <w:noProof/>
          <w:sz w:val="20"/>
        </w:rPr>
        <w:t>1. die Wahrscheinlichkeit und die Dauer des Auftretens gefährlicher explosionsfähiger Atmosphären,</w:t>
      </w:r>
    </w:p>
    <w:p w:rsidR="00836F87" w:rsidRPr="00C70DD5" w:rsidRDefault="00836F87" w:rsidP="00836F87">
      <w:pPr>
        <w:autoSpaceDE w:val="0"/>
        <w:autoSpaceDN w:val="0"/>
        <w:adjustRightInd w:val="0"/>
        <w:spacing w:after="60"/>
        <w:rPr>
          <w:i/>
          <w:noProof/>
          <w:sz w:val="20"/>
        </w:rPr>
      </w:pPr>
      <w:r w:rsidRPr="00C70DD5">
        <w:rPr>
          <w:i/>
          <w:noProof/>
          <w:sz w:val="20"/>
        </w:rPr>
        <w:t>2. die Wahrscheinlichkeit des Vorhandenseins, der Aktivierung und des Wirksamwerdens von Zündquellen einschließlich elektrostatischer Entladungen und</w:t>
      </w:r>
    </w:p>
    <w:p w:rsidR="00836F87" w:rsidRPr="00C70DD5" w:rsidRDefault="00836F87" w:rsidP="00836F87">
      <w:pPr>
        <w:autoSpaceDE w:val="0"/>
        <w:autoSpaceDN w:val="0"/>
        <w:adjustRightInd w:val="0"/>
        <w:spacing w:after="60"/>
        <w:rPr>
          <w:i/>
          <w:noProof/>
          <w:sz w:val="20"/>
        </w:rPr>
      </w:pPr>
      <w:r w:rsidRPr="00C70DD5">
        <w:rPr>
          <w:i/>
          <w:noProof/>
          <w:sz w:val="20"/>
        </w:rPr>
        <w:t>3. das Ausmaß der zu erwartenden Auswirkungen von Explosionen.</w:t>
      </w:r>
    </w:p>
    <w:p w:rsidR="00697830" w:rsidRPr="00836F87" w:rsidRDefault="00836F87" w:rsidP="00FE6E5C">
      <w:pPr>
        <w:autoSpaceDE w:val="0"/>
        <w:autoSpaceDN w:val="0"/>
        <w:adjustRightInd w:val="0"/>
        <w:spacing w:after="120"/>
        <w:rPr>
          <w:noProof/>
          <w:sz w:val="20"/>
        </w:rPr>
      </w:pPr>
      <w:r w:rsidRPr="00C70DD5">
        <w:rPr>
          <w:i/>
          <w:noProof/>
          <w:sz w:val="20"/>
        </w:rPr>
        <w:t>(3) Für Arbeitsmittel sind insbesondere Art, Umfang und Fristen erforderlicher Prüfungen zu ermitteln. Ferner hat der Arbeitgeber die notwendigen Voraussetzungen zu ermitteln und festzulegen, welche die Personen erfüllen müssen, die von ihm mit der Prüfung oder Erprobung von Arbeitsmitteln zu beauftragen sind.</w:t>
      </w:r>
      <w:r w:rsidR="00C70DD5" w:rsidRPr="00C70DD5">
        <w:rPr>
          <w:i/>
          <w:noProof/>
          <w:sz w:val="20"/>
        </w:rPr>
        <w:t>“</w:t>
      </w:r>
    </w:p>
    <w:p w:rsidR="007B6B63" w:rsidRDefault="00FE799D" w:rsidP="00A92F85">
      <w:pPr>
        <w:pStyle w:val="Endnotentext"/>
        <w:keepNext/>
        <w:tabs>
          <w:tab w:val="left" w:pos="4820"/>
        </w:tabs>
        <w:spacing w:before="240"/>
        <w:jc w:val="center"/>
        <w:rPr>
          <w:b/>
          <w:noProof/>
          <w:sz w:val="24"/>
          <w:szCs w:val="24"/>
          <w:u w:val="single"/>
        </w:rPr>
      </w:pPr>
      <w:r w:rsidRPr="00FA5480">
        <w:rPr>
          <w:b/>
          <w:noProof/>
          <w:sz w:val="24"/>
          <w:szCs w:val="24"/>
          <w:u w:val="single"/>
        </w:rPr>
        <w:t xml:space="preserve">Kurze Übersicht </w:t>
      </w:r>
      <w:r w:rsidR="00C70DD5">
        <w:rPr>
          <w:b/>
          <w:noProof/>
          <w:sz w:val="24"/>
          <w:szCs w:val="24"/>
          <w:u w:val="single"/>
        </w:rPr>
        <w:t xml:space="preserve">zu </w:t>
      </w:r>
      <w:r w:rsidRPr="00FA5480">
        <w:rPr>
          <w:b/>
          <w:noProof/>
          <w:sz w:val="24"/>
          <w:szCs w:val="24"/>
          <w:u w:val="single"/>
        </w:rPr>
        <w:t>§</w:t>
      </w:r>
      <w:r w:rsidR="00D268A5">
        <w:rPr>
          <w:b/>
          <w:noProof/>
          <w:sz w:val="24"/>
          <w:szCs w:val="24"/>
          <w:u w:val="single"/>
        </w:rPr>
        <w:t xml:space="preserve"> </w:t>
      </w:r>
      <w:r w:rsidRPr="00FA5480">
        <w:rPr>
          <w:b/>
          <w:noProof/>
          <w:sz w:val="24"/>
          <w:szCs w:val="24"/>
          <w:u w:val="single"/>
        </w:rPr>
        <w:t xml:space="preserve">3 </w:t>
      </w:r>
      <w:r w:rsidR="00C70DD5">
        <w:rPr>
          <w:b/>
          <w:noProof/>
          <w:sz w:val="24"/>
          <w:szCs w:val="24"/>
          <w:u w:val="single"/>
        </w:rPr>
        <w:t xml:space="preserve">der </w:t>
      </w:r>
      <w:r w:rsidRPr="00FA5480">
        <w:rPr>
          <w:b/>
          <w:noProof/>
          <w:sz w:val="24"/>
          <w:szCs w:val="24"/>
          <w:u w:val="single"/>
        </w:rPr>
        <w:t>Betriebs</w:t>
      </w:r>
      <w:r w:rsidR="00FA5480" w:rsidRPr="00FA5480">
        <w:rPr>
          <w:b/>
          <w:noProof/>
          <w:sz w:val="24"/>
          <w:szCs w:val="24"/>
          <w:u w:val="single"/>
        </w:rPr>
        <w:t>sicherheitsverordnung</w:t>
      </w:r>
    </w:p>
    <w:p w:rsidR="003B4FE1" w:rsidRPr="00A66F3C" w:rsidRDefault="001A4D62" w:rsidP="00697830">
      <w:pPr>
        <w:pStyle w:val="Endnotentext"/>
        <w:keepNext/>
        <w:tabs>
          <w:tab w:val="left" w:pos="4820"/>
          <w:tab w:val="left" w:pos="9356"/>
        </w:tabs>
        <w:spacing w:before="120"/>
        <w:rPr>
          <w:noProof/>
          <w:sz w:val="20"/>
        </w:rPr>
      </w:pPr>
      <w:r>
        <w:rPr>
          <w:noProof/>
          <w:sz w:val="20"/>
          <w:lang w:eastAsia="de-DE"/>
        </w:rPr>
        <w:drawing>
          <wp:inline distT="0" distB="0" distL="0" distR="0">
            <wp:extent cx="5994400" cy="4504055"/>
            <wp:effectExtent l="0" t="0" r="6350" b="0"/>
            <wp:docPr id="1" name="Bild 1" descr="04_05_02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_05_02_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4504055"/>
                    </a:xfrm>
                    <a:prstGeom prst="rect">
                      <a:avLst/>
                    </a:prstGeom>
                    <a:noFill/>
                    <a:ln>
                      <a:noFill/>
                    </a:ln>
                  </pic:spPr>
                </pic:pic>
              </a:graphicData>
            </a:graphic>
          </wp:inline>
        </w:drawing>
      </w:r>
    </w:p>
    <w:sectPr w:rsidR="003B4FE1" w:rsidRPr="00A66F3C" w:rsidSect="00A66F3C">
      <w:headerReference w:type="default" r:id="rId9"/>
      <w:footerReference w:type="even" r:id="rId10"/>
      <w:footerReference w:type="default" r:id="rId11"/>
      <w:pgSz w:w="11906" w:h="16838" w:code="9"/>
      <w:pgMar w:top="1418" w:right="851"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38" w:rsidRDefault="00B23E38">
      <w:r>
        <w:separator/>
      </w:r>
    </w:p>
  </w:endnote>
  <w:endnote w:type="continuationSeparator" w:id="0">
    <w:p w:rsidR="00B23E38" w:rsidRDefault="00B2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38" w:rsidRDefault="00B23E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3E38" w:rsidRDefault="00B23E3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38" w:rsidRDefault="00B23E38" w:rsidP="00A66F3C">
    <w:pPr>
      <w:pStyle w:val="Fuzeile"/>
      <w:tabs>
        <w:tab w:val="clear" w:pos="9072"/>
        <w:tab w:val="right" w:pos="9540"/>
      </w:tabs>
      <w:rPr>
        <w:rFonts w:cs="Arial"/>
        <w:color w:val="808080"/>
        <w:sz w:val="16"/>
        <w:szCs w:val="16"/>
      </w:rPr>
    </w:pPr>
    <w:r>
      <w:rPr>
        <w:noProof/>
        <w:szCs w:val="16"/>
        <w:lang w:eastAsia="de-DE"/>
      </w:rPr>
      <w:drawing>
        <wp:anchor distT="0" distB="0" distL="114300" distR="114300" simplePos="0" relativeHeight="251657728" behindDoc="0" locked="0" layoutInCell="1" allowOverlap="1" wp14:anchorId="36E2BAFB" wp14:editId="332C08A6">
          <wp:simplePos x="0" y="0"/>
          <wp:positionH relativeFrom="page">
            <wp:posOffset>900430</wp:posOffset>
          </wp:positionH>
          <wp:positionV relativeFrom="paragraph">
            <wp:posOffset>0</wp:posOffset>
          </wp:positionV>
          <wp:extent cx="363855" cy="363855"/>
          <wp:effectExtent l="0" t="0" r="0" b="0"/>
          <wp:wrapSquare wrapText="bothSides"/>
          <wp:docPr id="2" name="Bild 2" descr="WEKA-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KA-Logo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pic:spPr>
              </pic:pic>
            </a:graphicData>
          </a:graphic>
          <wp14:sizeRelH relativeFrom="page">
            <wp14:pctWidth>0</wp14:pctWidth>
          </wp14:sizeRelH>
          <wp14:sizeRelV relativeFrom="page">
            <wp14:pctHeight>0</wp14:pctHeight>
          </wp14:sizeRelV>
        </wp:anchor>
      </w:drawing>
    </w:r>
  </w:p>
  <w:p w:rsidR="00B23E38" w:rsidRDefault="00B23E38" w:rsidP="00A66F3C">
    <w:pPr>
      <w:pStyle w:val="Fuzeile"/>
      <w:tabs>
        <w:tab w:val="clear" w:pos="9072"/>
        <w:tab w:val="right" w:pos="9540"/>
      </w:tabs>
      <w:ind w:left="708"/>
      <w:rPr>
        <w:rFonts w:cs="Arial"/>
        <w:color w:val="808080"/>
        <w:sz w:val="16"/>
        <w:szCs w:val="16"/>
      </w:rPr>
    </w:pPr>
  </w:p>
  <w:p w:rsidR="00B23E38" w:rsidRPr="001F2625" w:rsidRDefault="00B23E38" w:rsidP="00A66F3C">
    <w:pPr>
      <w:pStyle w:val="Fuzeile"/>
      <w:tabs>
        <w:tab w:val="clear" w:pos="9072"/>
        <w:tab w:val="right" w:pos="9540"/>
      </w:tabs>
      <w:ind w:left="708"/>
      <w:rPr>
        <w:rFonts w:cs="Arial"/>
        <w:color w:val="808080"/>
        <w:sz w:val="16"/>
        <w:szCs w:val="16"/>
      </w:rPr>
    </w:pPr>
    <w:r>
      <w:rPr>
        <w:rFonts w:cs="Arial"/>
        <w:color w:val="808080"/>
        <w:sz w:val="16"/>
        <w:szCs w:val="16"/>
      </w:rPr>
      <w:t xml:space="preserve">© </w:t>
    </w:r>
    <w:r w:rsidRPr="0049352C">
      <w:rPr>
        <w:rFonts w:cs="Arial"/>
        <w:color w:val="808080"/>
        <w:sz w:val="16"/>
        <w:szCs w:val="16"/>
      </w:rPr>
      <w:t>WEKA MEDIA GmbH &amp; Co. KG</w:t>
    </w:r>
    <w:r w:rsidRPr="0049352C">
      <w:rPr>
        <w:rFonts w:cs="Arial"/>
        <w:color w:val="808080"/>
        <w:sz w:val="16"/>
        <w:szCs w:val="16"/>
      </w:rPr>
      <w:tab/>
    </w:r>
    <w:r w:rsidRPr="0049352C">
      <w:rPr>
        <w:rFonts w:cs="Arial"/>
        <w:color w:val="808080"/>
        <w:sz w:val="16"/>
        <w:szCs w:val="16"/>
      </w:rPr>
      <w:tab/>
      <w:t xml:space="preserve">Seite </w:t>
    </w:r>
    <w:r w:rsidRPr="0049352C">
      <w:rPr>
        <w:rStyle w:val="Seitenzahl"/>
        <w:rFonts w:cs="Arial"/>
        <w:color w:val="808080"/>
        <w:sz w:val="16"/>
        <w:szCs w:val="16"/>
      </w:rPr>
      <w:fldChar w:fldCharType="begin"/>
    </w:r>
    <w:r w:rsidRPr="0049352C">
      <w:rPr>
        <w:rStyle w:val="Seitenzahl"/>
        <w:rFonts w:cs="Arial"/>
        <w:color w:val="808080"/>
        <w:sz w:val="16"/>
        <w:szCs w:val="16"/>
      </w:rPr>
      <w:instrText xml:space="preserve"> PAGE </w:instrText>
    </w:r>
    <w:r w:rsidRPr="0049352C">
      <w:rPr>
        <w:rStyle w:val="Seitenzahl"/>
        <w:rFonts w:cs="Arial"/>
        <w:color w:val="808080"/>
        <w:sz w:val="16"/>
        <w:szCs w:val="16"/>
      </w:rPr>
      <w:fldChar w:fldCharType="separate"/>
    </w:r>
    <w:r w:rsidR="00035FE1">
      <w:rPr>
        <w:rStyle w:val="Seitenzahl"/>
        <w:rFonts w:cs="Arial"/>
        <w:noProof/>
        <w:color w:val="808080"/>
        <w:sz w:val="16"/>
        <w:szCs w:val="16"/>
      </w:rPr>
      <w:t>1</w:t>
    </w:r>
    <w:r w:rsidRPr="0049352C">
      <w:rPr>
        <w:rStyle w:val="Seitenzahl"/>
        <w:rFonts w:cs="Arial"/>
        <w:color w:val="808080"/>
        <w:sz w:val="16"/>
        <w:szCs w:val="16"/>
      </w:rPr>
      <w:fldChar w:fldCharType="end"/>
    </w:r>
    <w:r w:rsidRPr="0049352C">
      <w:rPr>
        <w:rStyle w:val="Seitenzahl"/>
        <w:rFonts w:cs="Arial"/>
        <w:color w:val="808080"/>
        <w:sz w:val="16"/>
        <w:szCs w:val="16"/>
      </w:rPr>
      <w:t xml:space="preserve"> von </w:t>
    </w:r>
    <w:r w:rsidRPr="0049352C">
      <w:rPr>
        <w:rStyle w:val="Seitenzahl"/>
        <w:rFonts w:cs="Arial"/>
        <w:color w:val="808080"/>
        <w:sz w:val="16"/>
        <w:szCs w:val="16"/>
      </w:rPr>
      <w:fldChar w:fldCharType="begin"/>
    </w:r>
    <w:r w:rsidRPr="0049352C">
      <w:rPr>
        <w:rStyle w:val="Seitenzahl"/>
        <w:rFonts w:cs="Arial"/>
        <w:color w:val="808080"/>
        <w:sz w:val="16"/>
        <w:szCs w:val="16"/>
      </w:rPr>
      <w:instrText xml:space="preserve"> NUMPAGES </w:instrText>
    </w:r>
    <w:r w:rsidRPr="0049352C">
      <w:rPr>
        <w:rStyle w:val="Seitenzahl"/>
        <w:rFonts w:cs="Arial"/>
        <w:color w:val="808080"/>
        <w:sz w:val="16"/>
        <w:szCs w:val="16"/>
      </w:rPr>
      <w:fldChar w:fldCharType="separate"/>
    </w:r>
    <w:r w:rsidR="00035FE1">
      <w:rPr>
        <w:rStyle w:val="Seitenzahl"/>
        <w:rFonts w:cs="Arial"/>
        <w:noProof/>
        <w:color w:val="808080"/>
        <w:sz w:val="16"/>
        <w:szCs w:val="16"/>
      </w:rPr>
      <w:t>2</w:t>
    </w:r>
    <w:r w:rsidRPr="0049352C">
      <w:rPr>
        <w:rStyle w:val="Seitenzahl"/>
        <w:rFonts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38" w:rsidRDefault="00B23E38">
      <w:r>
        <w:separator/>
      </w:r>
    </w:p>
  </w:footnote>
  <w:footnote w:type="continuationSeparator" w:id="0">
    <w:p w:rsidR="00B23E38" w:rsidRDefault="00B2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38" w:rsidRPr="003F10D3" w:rsidRDefault="00B23E38" w:rsidP="00A66F3C">
    <w:pPr>
      <w:pStyle w:val="StandardWeb"/>
      <w:pBdr>
        <w:bottom w:val="single" w:sz="4" w:space="1" w:color="auto"/>
      </w:pBdr>
      <w:tabs>
        <w:tab w:val="right" w:pos="9639"/>
      </w:tabs>
      <w:rPr>
        <w:rFonts w:ascii="Arial" w:eastAsia="Arial Unicode MS" w:hAnsi="Arial" w:cs="Arial"/>
        <w:color w:val="808080"/>
        <w:sz w:val="16"/>
        <w:szCs w:val="16"/>
      </w:rPr>
    </w:pPr>
    <w:r>
      <w:rPr>
        <w:rFonts w:ascii="Arial" w:hAnsi="Arial" w:cs="Arial"/>
        <w:noProof/>
        <w:color w:val="808080"/>
        <w:sz w:val="16"/>
        <w:szCs w:val="16"/>
      </w:rPr>
      <w:t>Ermittlung von Prüffristen für die Wiederholungsprüfungen ortsveränderlicher elektrischer Betriebsmittel</w:t>
    </w:r>
    <w:r w:rsidRPr="003F10D3">
      <w:rPr>
        <w:rFonts w:ascii="Arial" w:eastAsia="Arial Unicode MS" w:hAnsi="Arial" w:cs="Arial"/>
        <w:color w:val="80808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3E57"/>
    <w:multiLevelType w:val="hybridMultilevel"/>
    <w:tmpl w:val="7DCA2A76"/>
    <w:lvl w:ilvl="0" w:tplc="0526CF6C">
      <w:start w:val="1"/>
      <w:numFmt w:val="decimal"/>
      <w:pStyle w:val="TabU3"/>
      <w:lvlText w:val="3.%1"/>
      <w:lvlJc w:val="left"/>
      <w:pPr>
        <w:tabs>
          <w:tab w:val="num" w:pos="425"/>
        </w:tabs>
        <w:ind w:left="425" w:hanging="425"/>
      </w:pPr>
      <w:rPr>
        <w:rFonts w:hint="default"/>
      </w:rPr>
    </w:lvl>
    <w:lvl w:ilvl="1" w:tplc="FFC6E26C" w:tentative="1">
      <w:start w:val="1"/>
      <w:numFmt w:val="lowerLetter"/>
      <w:lvlText w:val="%2."/>
      <w:lvlJc w:val="left"/>
      <w:pPr>
        <w:tabs>
          <w:tab w:val="num" w:pos="1440"/>
        </w:tabs>
        <w:ind w:left="1440" w:hanging="360"/>
      </w:pPr>
    </w:lvl>
    <w:lvl w:ilvl="2" w:tplc="E2F8E950" w:tentative="1">
      <w:start w:val="1"/>
      <w:numFmt w:val="lowerRoman"/>
      <w:lvlText w:val="%3."/>
      <w:lvlJc w:val="right"/>
      <w:pPr>
        <w:tabs>
          <w:tab w:val="num" w:pos="2160"/>
        </w:tabs>
        <w:ind w:left="2160" w:hanging="180"/>
      </w:pPr>
    </w:lvl>
    <w:lvl w:ilvl="3" w:tplc="37B0D4C4" w:tentative="1">
      <w:start w:val="1"/>
      <w:numFmt w:val="decimal"/>
      <w:lvlText w:val="%4."/>
      <w:lvlJc w:val="left"/>
      <w:pPr>
        <w:tabs>
          <w:tab w:val="num" w:pos="2880"/>
        </w:tabs>
        <w:ind w:left="2880" w:hanging="360"/>
      </w:pPr>
    </w:lvl>
    <w:lvl w:ilvl="4" w:tplc="ED4ACB40" w:tentative="1">
      <w:start w:val="1"/>
      <w:numFmt w:val="lowerLetter"/>
      <w:lvlText w:val="%5."/>
      <w:lvlJc w:val="left"/>
      <w:pPr>
        <w:tabs>
          <w:tab w:val="num" w:pos="3600"/>
        </w:tabs>
        <w:ind w:left="3600" w:hanging="360"/>
      </w:pPr>
    </w:lvl>
    <w:lvl w:ilvl="5" w:tplc="1362DDE6" w:tentative="1">
      <w:start w:val="1"/>
      <w:numFmt w:val="lowerRoman"/>
      <w:lvlText w:val="%6."/>
      <w:lvlJc w:val="right"/>
      <w:pPr>
        <w:tabs>
          <w:tab w:val="num" w:pos="4320"/>
        </w:tabs>
        <w:ind w:left="4320" w:hanging="180"/>
      </w:pPr>
    </w:lvl>
    <w:lvl w:ilvl="6" w:tplc="732849FE" w:tentative="1">
      <w:start w:val="1"/>
      <w:numFmt w:val="decimal"/>
      <w:lvlText w:val="%7."/>
      <w:lvlJc w:val="left"/>
      <w:pPr>
        <w:tabs>
          <w:tab w:val="num" w:pos="5040"/>
        </w:tabs>
        <w:ind w:left="5040" w:hanging="360"/>
      </w:pPr>
    </w:lvl>
    <w:lvl w:ilvl="7" w:tplc="FC643396" w:tentative="1">
      <w:start w:val="1"/>
      <w:numFmt w:val="lowerLetter"/>
      <w:lvlText w:val="%8."/>
      <w:lvlJc w:val="left"/>
      <w:pPr>
        <w:tabs>
          <w:tab w:val="num" w:pos="5760"/>
        </w:tabs>
        <w:ind w:left="5760" w:hanging="360"/>
      </w:pPr>
    </w:lvl>
    <w:lvl w:ilvl="8" w:tplc="5AB44508" w:tentative="1">
      <w:start w:val="1"/>
      <w:numFmt w:val="lowerRoman"/>
      <w:lvlText w:val="%9."/>
      <w:lvlJc w:val="right"/>
      <w:pPr>
        <w:tabs>
          <w:tab w:val="num" w:pos="6480"/>
        </w:tabs>
        <w:ind w:left="6480" w:hanging="180"/>
      </w:pPr>
    </w:lvl>
  </w:abstractNum>
  <w:abstractNum w:abstractNumId="1">
    <w:nsid w:val="276A4372"/>
    <w:multiLevelType w:val="hybridMultilevel"/>
    <w:tmpl w:val="731E9F28"/>
    <w:lvl w:ilvl="0" w:tplc="011E1AC0">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
    <w:nsid w:val="30F85315"/>
    <w:multiLevelType w:val="multilevel"/>
    <w:tmpl w:val="54F48AF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C56B1D"/>
    <w:multiLevelType w:val="hybridMultilevel"/>
    <w:tmpl w:val="ECC87686"/>
    <w:lvl w:ilvl="0" w:tplc="011E1AC0">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4">
    <w:nsid w:val="37EE59A1"/>
    <w:multiLevelType w:val="multilevel"/>
    <w:tmpl w:val="26F853BA"/>
    <w:lvl w:ilvl="0">
      <w:start w:val="1"/>
      <w:numFmt w:val="decimal"/>
      <w:pStyle w:val="Tab1"/>
      <w:lvlText w:val="%1"/>
      <w:lvlJc w:val="left"/>
      <w:pPr>
        <w:tabs>
          <w:tab w:val="num" w:pos="432"/>
        </w:tabs>
        <w:ind w:left="432" w:hanging="432"/>
      </w:pPr>
      <w:rPr>
        <w:rFonts w:hint="default"/>
      </w:rPr>
    </w:lvl>
    <w:lvl w:ilvl="1">
      <w:start w:val="1"/>
      <w:numFmt w:val="decimal"/>
      <w:pStyle w:val="Tab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B1B49C3"/>
    <w:multiLevelType w:val="singleLevel"/>
    <w:tmpl w:val="07F83680"/>
    <w:lvl w:ilvl="0">
      <w:start w:val="1"/>
      <w:numFmt w:val="bullet"/>
      <w:pStyle w:val="StandardListe"/>
      <w:lvlText w:val=""/>
      <w:lvlJc w:val="left"/>
      <w:pPr>
        <w:tabs>
          <w:tab w:val="num" w:pos="360"/>
        </w:tabs>
        <w:ind w:left="198" w:hanging="198"/>
      </w:pPr>
      <w:rPr>
        <w:rFonts w:ascii="Wingdings" w:hAnsi="Wingdings" w:hint="default"/>
      </w:rPr>
    </w:lvl>
  </w:abstractNum>
  <w:abstractNum w:abstractNumId="6">
    <w:nsid w:val="42DE7682"/>
    <w:multiLevelType w:val="hybridMultilevel"/>
    <w:tmpl w:val="3036F9F8"/>
    <w:lvl w:ilvl="0" w:tplc="A702A360">
      <w:start w:val="1"/>
      <w:numFmt w:val="bullet"/>
      <w:lvlText w:val=""/>
      <w:lvlJc w:val="left"/>
      <w:pPr>
        <w:tabs>
          <w:tab w:val="num" w:pos="720"/>
        </w:tabs>
        <w:ind w:left="720" w:hanging="360"/>
      </w:pPr>
      <w:rPr>
        <w:rFonts w:ascii="Wingdings" w:hAnsi="Wingdings" w:hint="default"/>
      </w:rPr>
    </w:lvl>
    <w:lvl w:ilvl="1" w:tplc="397E0960" w:tentative="1">
      <w:start w:val="1"/>
      <w:numFmt w:val="bullet"/>
      <w:lvlText w:val="o"/>
      <w:lvlJc w:val="left"/>
      <w:pPr>
        <w:tabs>
          <w:tab w:val="num" w:pos="1440"/>
        </w:tabs>
        <w:ind w:left="1440" w:hanging="360"/>
      </w:pPr>
      <w:rPr>
        <w:rFonts w:ascii="Courier New" w:hAnsi="Courier New" w:hint="default"/>
      </w:rPr>
    </w:lvl>
    <w:lvl w:ilvl="2" w:tplc="278ECD1E" w:tentative="1">
      <w:start w:val="1"/>
      <w:numFmt w:val="bullet"/>
      <w:lvlText w:val=""/>
      <w:lvlJc w:val="left"/>
      <w:pPr>
        <w:tabs>
          <w:tab w:val="num" w:pos="2160"/>
        </w:tabs>
        <w:ind w:left="2160" w:hanging="360"/>
      </w:pPr>
      <w:rPr>
        <w:rFonts w:ascii="Wingdings" w:hAnsi="Wingdings" w:hint="default"/>
      </w:rPr>
    </w:lvl>
    <w:lvl w:ilvl="3" w:tplc="83E0973C" w:tentative="1">
      <w:start w:val="1"/>
      <w:numFmt w:val="bullet"/>
      <w:lvlText w:val=""/>
      <w:lvlJc w:val="left"/>
      <w:pPr>
        <w:tabs>
          <w:tab w:val="num" w:pos="2880"/>
        </w:tabs>
        <w:ind w:left="2880" w:hanging="360"/>
      </w:pPr>
      <w:rPr>
        <w:rFonts w:ascii="Symbol" w:hAnsi="Symbol" w:hint="default"/>
      </w:rPr>
    </w:lvl>
    <w:lvl w:ilvl="4" w:tplc="4440DC00" w:tentative="1">
      <w:start w:val="1"/>
      <w:numFmt w:val="bullet"/>
      <w:lvlText w:val="o"/>
      <w:lvlJc w:val="left"/>
      <w:pPr>
        <w:tabs>
          <w:tab w:val="num" w:pos="3600"/>
        </w:tabs>
        <w:ind w:left="3600" w:hanging="360"/>
      </w:pPr>
      <w:rPr>
        <w:rFonts w:ascii="Courier New" w:hAnsi="Courier New" w:hint="default"/>
      </w:rPr>
    </w:lvl>
    <w:lvl w:ilvl="5" w:tplc="6EF072BE" w:tentative="1">
      <w:start w:val="1"/>
      <w:numFmt w:val="bullet"/>
      <w:lvlText w:val=""/>
      <w:lvlJc w:val="left"/>
      <w:pPr>
        <w:tabs>
          <w:tab w:val="num" w:pos="4320"/>
        </w:tabs>
        <w:ind w:left="4320" w:hanging="360"/>
      </w:pPr>
      <w:rPr>
        <w:rFonts w:ascii="Wingdings" w:hAnsi="Wingdings" w:hint="default"/>
      </w:rPr>
    </w:lvl>
    <w:lvl w:ilvl="6" w:tplc="4BE61A8E" w:tentative="1">
      <w:start w:val="1"/>
      <w:numFmt w:val="bullet"/>
      <w:lvlText w:val=""/>
      <w:lvlJc w:val="left"/>
      <w:pPr>
        <w:tabs>
          <w:tab w:val="num" w:pos="5040"/>
        </w:tabs>
        <w:ind w:left="5040" w:hanging="360"/>
      </w:pPr>
      <w:rPr>
        <w:rFonts w:ascii="Symbol" w:hAnsi="Symbol" w:hint="default"/>
      </w:rPr>
    </w:lvl>
    <w:lvl w:ilvl="7" w:tplc="131C8FFA" w:tentative="1">
      <w:start w:val="1"/>
      <w:numFmt w:val="bullet"/>
      <w:lvlText w:val="o"/>
      <w:lvlJc w:val="left"/>
      <w:pPr>
        <w:tabs>
          <w:tab w:val="num" w:pos="5760"/>
        </w:tabs>
        <w:ind w:left="5760" w:hanging="360"/>
      </w:pPr>
      <w:rPr>
        <w:rFonts w:ascii="Courier New" w:hAnsi="Courier New" w:hint="default"/>
      </w:rPr>
    </w:lvl>
    <w:lvl w:ilvl="8" w:tplc="08FC0C52" w:tentative="1">
      <w:start w:val="1"/>
      <w:numFmt w:val="bullet"/>
      <w:lvlText w:val=""/>
      <w:lvlJc w:val="left"/>
      <w:pPr>
        <w:tabs>
          <w:tab w:val="num" w:pos="6480"/>
        </w:tabs>
        <w:ind w:left="6480" w:hanging="360"/>
      </w:pPr>
      <w:rPr>
        <w:rFonts w:ascii="Wingdings" w:hAnsi="Wingdings" w:hint="default"/>
      </w:rPr>
    </w:lvl>
  </w:abstractNum>
  <w:abstractNum w:abstractNumId="7">
    <w:nsid w:val="44010BD4"/>
    <w:multiLevelType w:val="multilevel"/>
    <w:tmpl w:val="072EBF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764C0098"/>
    <w:multiLevelType w:val="hybridMultilevel"/>
    <w:tmpl w:val="0ACEDB78"/>
    <w:lvl w:ilvl="0" w:tplc="D3B2143E">
      <w:start w:val="1"/>
      <w:numFmt w:val="decimal"/>
      <w:lvlText w:val="%1."/>
      <w:lvlJc w:val="left"/>
      <w:pPr>
        <w:tabs>
          <w:tab w:val="num" w:pos="360"/>
        </w:tabs>
        <w:ind w:left="360" w:hanging="360"/>
      </w:pPr>
    </w:lvl>
    <w:lvl w:ilvl="1" w:tplc="F7C86234">
      <w:start w:val="1"/>
      <w:numFmt w:val="lowerLetter"/>
      <w:lvlText w:val="%2."/>
      <w:lvlJc w:val="left"/>
      <w:pPr>
        <w:tabs>
          <w:tab w:val="num" w:pos="1080"/>
        </w:tabs>
        <w:ind w:left="1080" w:hanging="360"/>
      </w:pPr>
    </w:lvl>
    <w:lvl w:ilvl="2" w:tplc="C7F21616" w:tentative="1">
      <w:start w:val="1"/>
      <w:numFmt w:val="lowerRoman"/>
      <w:lvlText w:val="%3."/>
      <w:lvlJc w:val="right"/>
      <w:pPr>
        <w:tabs>
          <w:tab w:val="num" w:pos="1800"/>
        </w:tabs>
        <w:ind w:left="1800" w:hanging="180"/>
      </w:pPr>
    </w:lvl>
    <w:lvl w:ilvl="3" w:tplc="B2E0F346" w:tentative="1">
      <w:start w:val="1"/>
      <w:numFmt w:val="decimal"/>
      <w:lvlText w:val="%4."/>
      <w:lvlJc w:val="left"/>
      <w:pPr>
        <w:tabs>
          <w:tab w:val="num" w:pos="2520"/>
        </w:tabs>
        <w:ind w:left="2520" w:hanging="360"/>
      </w:pPr>
    </w:lvl>
    <w:lvl w:ilvl="4" w:tplc="7EBEA16C" w:tentative="1">
      <w:start w:val="1"/>
      <w:numFmt w:val="lowerLetter"/>
      <w:lvlText w:val="%5."/>
      <w:lvlJc w:val="left"/>
      <w:pPr>
        <w:tabs>
          <w:tab w:val="num" w:pos="3240"/>
        </w:tabs>
        <w:ind w:left="3240" w:hanging="360"/>
      </w:pPr>
    </w:lvl>
    <w:lvl w:ilvl="5" w:tplc="49BC3F1C" w:tentative="1">
      <w:start w:val="1"/>
      <w:numFmt w:val="lowerRoman"/>
      <w:lvlText w:val="%6."/>
      <w:lvlJc w:val="right"/>
      <w:pPr>
        <w:tabs>
          <w:tab w:val="num" w:pos="3960"/>
        </w:tabs>
        <w:ind w:left="3960" w:hanging="180"/>
      </w:pPr>
    </w:lvl>
    <w:lvl w:ilvl="6" w:tplc="956E2EC0" w:tentative="1">
      <w:start w:val="1"/>
      <w:numFmt w:val="decimal"/>
      <w:lvlText w:val="%7."/>
      <w:lvlJc w:val="left"/>
      <w:pPr>
        <w:tabs>
          <w:tab w:val="num" w:pos="4680"/>
        </w:tabs>
        <w:ind w:left="4680" w:hanging="360"/>
      </w:pPr>
    </w:lvl>
    <w:lvl w:ilvl="7" w:tplc="00B2FA66" w:tentative="1">
      <w:start w:val="1"/>
      <w:numFmt w:val="lowerLetter"/>
      <w:lvlText w:val="%8."/>
      <w:lvlJc w:val="left"/>
      <w:pPr>
        <w:tabs>
          <w:tab w:val="num" w:pos="5400"/>
        </w:tabs>
        <w:ind w:left="5400" w:hanging="360"/>
      </w:pPr>
    </w:lvl>
    <w:lvl w:ilvl="8" w:tplc="D4729E0A" w:tentative="1">
      <w:start w:val="1"/>
      <w:numFmt w:val="lowerRoman"/>
      <w:lvlText w:val="%9."/>
      <w:lvlJc w:val="right"/>
      <w:pPr>
        <w:tabs>
          <w:tab w:val="num" w:pos="6120"/>
        </w:tabs>
        <w:ind w:left="6120" w:hanging="180"/>
      </w:pPr>
    </w:lvl>
  </w:abstractNum>
  <w:abstractNum w:abstractNumId="9">
    <w:nsid w:val="7DB97987"/>
    <w:multiLevelType w:val="hybridMultilevel"/>
    <w:tmpl w:val="1BE0CA7C"/>
    <w:lvl w:ilvl="0" w:tplc="8A6AABEC">
      <w:start w:val="1"/>
      <w:numFmt w:val="decimal"/>
      <w:lvlText w:val="4.%1"/>
      <w:lvlJc w:val="left"/>
      <w:pPr>
        <w:tabs>
          <w:tab w:val="num" w:pos="425"/>
        </w:tabs>
        <w:ind w:left="425" w:hanging="425"/>
      </w:pPr>
      <w:rPr>
        <w:rFonts w:hint="default"/>
      </w:rPr>
    </w:lvl>
    <w:lvl w:ilvl="1" w:tplc="0638FA62">
      <w:start w:val="1"/>
      <w:numFmt w:val="lowerLetter"/>
      <w:pStyle w:val="TabU4"/>
      <w:lvlText w:val="%2."/>
      <w:lvlJc w:val="left"/>
      <w:pPr>
        <w:tabs>
          <w:tab w:val="num" w:pos="1440"/>
        </w:tabs>
        <w:ind w:left="1440" w:hanging="360"/>
      </w:pPr>
    </w:lvl>
    <w:lvl w:ilvl="2" w:tplc="1CB2242A" w:tentative="1">
      <w:start w:val="1"/>
      <w:numFmt w:val="lowerRoman"/>
      <w:lvlText w:val="%3."/>
      <w:lvlJc w:val="right"/>
      <w:pPr>
        <w:tabs>
          <w:tab w:val="num" w:pos="2160"/>
        </w:tabs>
        <w:ind w:left="2160" w:hanging="180"/>
      </w:pPr>
    </w:lvl>
    <w:lvl w:ilvl="3" w:tplc="B46402E0" w:tentative="1">
      <w:start w:val="1"/>
      <w:numFmt w:val="decimal"/>
      <w:lvlText w:val="%4."/>
      <w:lvlJc w:val="left"/>
      <w:pPr>
        <w:tabs>
          <w:tab w:val="num" w:pos="2880"/>
        </w:tabs>
        <w:ind w:left="2880" w:hanging="360"/>
      </w:pPr>
    </w:lvl>
    <w:lvl w:ilvl="4" w:tplc="8C98052E" w:tentative="1">
      <w:start w:val="1"/>
      <w:numFmt w:val="lowerLetter"/>
      <w:lvlText w:val="%5."/>
      <w:lvlJc w:val="left"/>
      <w:pPr>
        <w:tabs>
          <w:tab w:val="num" w:pos="3600"/>
        </w:tabs>
        <w:ind w:left="3600" w:hanging="360"/>
      </w:pPr>
    </w:lvl>
    <w:lvl w:ilvl="5" w:tplc="319CA4F6" w:tentative="1">
      <w:start w:val="1"/>
      <w:numFmt w:val="lowerRoman"/>
      <w:lvlText w:val="%6."/>
      <w:lvlJc w:val="right"/>
      <w:pPr>
        <w:tabs>
          <w:tab w:val="num" w:pos="4320"/>
        </w:tabs>
        <w:ind w:left="4320" w:hanging="180"/>
      </w:pPr>
    </w:lvl>
    <w:lvl w:ilvl="6" w:tplc="FC2CDDD2" w:tentative="1">
      <w:start w:val="1"/>
      <w:numFmt w:val="decimal"/>
      <w:lvlText w:val="%7."/>
      <w:lvlJc w:val="left"/>
      <w:pPr>
        <w:tabs>
          <w:tab w:val="num" w:pos="5040"/>
        </w:tabs>
        <w:ind w:left="5040" w:hanging="360"/>
      </w:pPr>
    </w:lvl>
    <w:lvl w:ilvl="7" w:tplc="802EFEC2" w:tentative="1">
      <w:start w:val="1"/>
      <w:numFmt w:val="lowerLetter"/>
      <w:lvlText w:val="%8."/>
      <w:lvlJc w:val="left"/>
      <w:pPr>
        <w:tabs>
          <w:tab w:val="num" w:pos="5760"/>
        </w:tabs>
        <w:ind w:left="5760" w:hanging="360"/>
      </w:pPr>
    </w:lvl>
    <w:lvl w:ilvl="8" w:tplc="215288AE"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2"/>
  </w:num>
  <w:num w:numId="5">
    <w:abstractNumId w:val="9"/>
  </w:num>
  <w:num w:numId="6">
    <w:abstractNumId w:val="9"/>
  </w:num>
  <w:num w:numId="7">
    <w:abstractNumId w:val="9"/>
  </w:num>
  <w:num w:numId="8">
    <w:abstractNumId w:val="2"/>
  </w:num>
  <w:num w:numId="9">
    <w:abstractNumId w:val="9"/>
  </w:num>
  <w:num w:numId="10">
    <w:abstractNumId w:val="9"/>
  </w:num>
  <w:num w:numId="11">
    <w:abstractNumId w:val="0"/>
  </w:num>
  <w:num w:numId="12">
    <w:abstractNumId w:val="9"/>
  </w:num>
  <w:num w:numId="13">
    <w:abstractNumId w:val="2"/>
  </w:num>
  <w:num w:numId="14">
    <w:abstractNumId w:val="4"/>
  </w:num>
  <w:num w:numId="15">
    <w:abstractNumId w:val="8"/>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16"/>
    <w:rsid w:val="00035FE1"/>
    <w:rsid w:val="00076657"/>
    <w:rsid w:val="000F2440"/>
    <w:rsid w:val="00171E92"/>
    <w:rsid w:val="001A4D62"/>
    <w:rsid w:val="00245A7D"/>
    <w:rsid w:val="002919DF"/>
    <w:rsid w:val="00292BBD"/>
    <w:rsid w:val="00296FAA"/>
    <w:rsid w:val="002A6AA4"/>
    <w:rsid w:val="002B5224"/>
    <w:rsid w:val="002B651A"/>
    <w:rsid w:val="002D1980"/>
    <w:rsid w:val="00302137"/>
    <w:rsid w:val="00310C16"/>
    <w:rsid w:val="003677B0"/>
    <w:rsid w:val="003B4FE1"/>
    <w:rsid w:val="00405B1F"/>
    <w:rsid w:val="00500DCF"/>
    <w:rsid w:val="00623388"/>
    <w:rsid w:val="0064720D"/>
    <w:rsid w:val="00697830"/>
    <w:rsid w:val="00722A35"/>
    <w:rsid w:val="0073150B"/>
    <w:rsid w:val="00795148"/>
    <w:rsid w:val="007B6B63"/>
    <w:rsid w:val="007C06DE"/>
    <w:rsid w:val="007E1FB1"/>
    <w:rsid w:val="00836F87"/>
    <w:rsid w:val="008E4E4C"/>
    <w:rsid w:val="00900ECC"/>
    <w:rsid w:val="00A123D5"/>
    <w:rsid w:val="00A66F3C"/>
    <w:rsid w:val="00A92F85"/>
    <w:rsid w:val="00B23E38"/>
    <w:rsid w:val="00B60D7A"/>
    <w:rsid w:val="00B76D72"/>
    <w:rsid w:val="00BB1B60"/>
    <w:rsid w:val="00C27965"/>
    <w:rsid w:val="00C70DD5"/>
    <w:rsid w:val="00CE2719"/>
    <w:rsid w:val="00D268A5"/>
    <w:rsid w:val="00D632DC"/>
    <w:rsid w:val="00D91784"/>
    <w:rsid w:val="00E33347"/>
    <w:rsid w:val="00E34DF5"/>
    <w:rsid w:val="00E827B9"/>
    <w:rsid w:val="00EE2960"/>
    <w:rsid w:val="00F71DBB"/>
    <w:rsid w:val="00FA5480"/>
    <w:rsid w:val="00FE6E5C"/>
    <w:rsid w:val="00FE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tabs>
        <w:tab w:val="right" w:pos="9639"/>
      </w:tabs>
      <w:spacing w:before="240" w:line="480" w:lineRule="auto"/>
      <w:outlineLvl w:val="0"/>
    </w:pPr>
    <w:rPr>
      <w:b/>
      <w:bCs/>
      <w:sz w:val="24"/>
    </w:rPr>
  </w:style>
  <w:style w:type="paragraph" w:styleId="berschrift2">
    <w:name w:val="heading 2"/>
    <w:basedOn w:val="Standard"/>
    <w:next w:val="Standard"/>
    <w:qFormat/>
    <w:pPr>
      <w:keepNext/>
      <w:tabs>
        <w:tab w:val="right" w:pos="9639"/>
      </w:tabs>
      <w:spacing w:line="480" w:lineRule="auto"/>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iste">
    <w:name w:val="Standard Liste"/>
    <w:basedOn w:val="Standard"/>
    <w:pPr>
      <w:numPr>
        <w:numId w:val="2"/>
      </w:numPr>
      <w:tabs>
        <w:tab w:val="clear" w:pos="360"/>
        <w:tab w:val="left" w:pos="227"/>
      </w:tabs>
      <w:ind w:left="227" w:hanging="22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UnterschriftE-Check">
    <w:name w:val="Unterschrift E-Check"/>
    <w:basedOn w:val="Standard"/>
    <w:pPr>
      <w:keepNext/>
      <w:tabs>
        <w:tab w:val="left" w:pos="4820"/>
      </w:tabs>
      <w:spacing w:before="600"/>
    </w:pPr>
    <w:rPr>
      <w:sz w:val="21"/>
    </w:rPr>
  </w:style>
  <w:style w:type="paragraph" w:styleId="Endnotentext">
    <w:name w:val="endnote text"/>
    <w:basedOn w:val="Standard"/>
    <w:semiHidden/>
  </w:style>
  <w:style w:type="paragraph" w:customStyle="1" w:styleId="Tab1">
    <w:name w:val="TabÜ1"/>
    <w:basedOn w:val="Standard"/>
    <w:pPr>
      <w:numPr>
        <w:numId w:val="14"/>
      </w:numPr>
      <w:spacing w:before="120" w:after="120"/>
    </w:pPr>
    <w:rPr>
      <w:b/>
      <w:bCs/>
      <w:sz w:val="24"/>
    </w:rPr>
  </w:style>
  <w:style w:type="paragraph" w:customStyle="1" w:styleId="TabText">
    <w:name w:val="TabText"/>
    <w:basedOn w:val="Standard"/>
    <w:pPr>
      <w:ind w:left="567"/>
    </w:pPr>
    <w:rPr>
      <w:sz w:val="24"/>
    </w:rPr>
  </w:style>
  <w:style w:type="paragraph" w:customStyle="1" w:styleId="TabU1">
    <w:name w:val="Tab_Uü_1"/>
    <w:basedOn w:val="Standard"/>
    <w:pPr>
      <w:spacing w:before="40" w:after="40"/>
    </w:pPr>
    <w:rPr>
      <w:sz w:val="20"/>
    </w:rPr>
  </w:style>
  <w:style w:type="paragraph" w:customStyle="1" w:styleId="TabU2">
    <w:name w:val="Tab_Uü_2"/>
    <w:basedOn w:val="TabU1"/>
  </w:style>
  <w:style w:type="paragraph" w:customStyle="1" w:styleId="TabU3">
    <w:name w:val="Tab_Uü_3"/>
    <w:basedOn w:val="TabU1"/>
    <w:pPr>
      <w:numPr>
        <w:numId w:val="11"/>
      </w:numPr>
    </w:pPr>
  </w:style>
  <w:style w:type="paragraph" w:customStyle="1" w:styleId="TabU4">
    <w:name w:val="Tab_Uü_4"/>
    <w:basedOn w:val="TabU1"/>
    <w:pPr>
      <w:keepLines/>
      <w:numPr>
        <w:ilvl w:val="1"/>
        <w:numId w:val="12"/>
      </w:numPr>
    </w:pPr>
  </w:style>
  <w:style w:type="paragraph" w:customStyle="1" w:styleId="Tab2">
    <w:name w:val="TabÜ2"/>
    <w:basedOn w:val="Tab1"/>
    <w:pPr>
      <w:numPr>
        <w:ilvl w:val="1"/>
      </w:numPr>
    </w:pPr>
  </w:style>
  <w:style w:type="paragraph" w:styleId="Textkrper">
    <w:name w:val="Body Text"/>
    <w:basedOn w:val="Standard"/>
    <w:pPr>
      <w:spacing w:before="240" w:after="960" w:line="22" w:lineRule="atLeast"/>
    </w:pPr>
    <w:rPr>
      <w:sz w:val="24"/>
    </w:rPr>
  </w:style>
  <w:style w:type="character" w:styleId="Seitenzahl">
    <w:name w:val="page number"/>
    <w:basedOn w:val="Absatz-Standardschriftart"/>
  </w:style>
  <w:style w:type="table" w:styleId="Tabellenraster">
    <w:name w:val="Table Grid"/>
    <w:basedOn w:val="NormaleTabelle"/>
    <w:rsid w:val="00A6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A66F3C"/>
    <w:pPr>
      <w:spacing w:before="100" w:after="100"/>
    </w:pPr>
    <w:rPr>
      <w:rFonts w:ascii="Times New Roman" w:hAnsi="Times New Roman"/>
      <w:sz w:val="24"/>
      <w:szCs w:val="24"/>
      <w:lang w:eastAsia="de-DE"/>
    </w:rPr>
  </w:style>
  <w:style w:type="paragraph" w:styleId="Dokumentstruktur">
    <w:name w:val="Document Map"/>
    <w:basedOn w:val="Standard"/>
    <w:semiHidden/>
    <w:rsid w:val="00E827B9"/>
    <w:pPr>
      <w:shd w:val="clear" w:color="auto" w:fill="000080"/>
    </w:pPr>
    <w:rPr>
      <w:rFonts w:ascii="Tahoma" w:hAnsi="Tahoma" w:cs="Tahoma"/>
    </w:rPr>
  </w:style>
  <w:style w:type="character" w:styleId="Kommentarzeichen">
    <w:name w:val="annotation reference"/>
    <w:semiHidden/>
    <w:rsid w:val="00C70DD5"/>
    <w:rPr>
      <w:sz w:val="16"/>
      <w:szCs w:val="16"/>
    </w:rPr>
  </w:style>
  <w:style w:type="paragraph" w:styleId="Kommentartext">
    <w:name w:val="annotation text"/>
    <w:basedOn w:val="Standard"/>
    <w:semiHidden/>
    <w:rsid w:val="00C70DD5"/>
    <w:rPr>
      <w:sz w:val="20"/>
    </w:rPr>
  </w:style>
  <w:style w:type="paragraph" w:styleId="Kommentarthema">
    <w:name w:val="annotation subject"/>
    <w:basedOn w:val="Kommentartext"/>
    <w:next w:val="Kommentartext"/>
    <w:semiHidden/>
    <w:rsid w:val="00C70DD5"/>
    <w:rPr>
      <w:b/>
      <w:bCs/>
    </w:rPr>
  </w:style>
  <w:style w:type="paragraph" w:styleId="Sprechblasentext">
    <w:name w:val="Balloon Text"/>
    <w:basedOn w:val="Standard"/>
    <w:semiHidden/>
    <w:rsid w:val="00C70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tabs>
        <w:tab w:val="right" w:pos="9639"/>
      </w:tabs>
      <w:spacing w:before="240" w:line="480" w:lineRule="auto"/>
      <w:outlineLvl w:val="0"/>
    </w:pPr>
    <w:rPr>
      <w:b/>
      <w:bCs/>
      <w:sz w:val="24"/>
    </w:rPr>
  </w:style>
  <w:style w:type="paragraph" w:styleId="berschrift2">
    <w:name w:val="heading 2"/>
    <w:basedOn w:val="Standard"/>
    <w:next w:val="Standard"/>
    <w:qFormat/>
    <w:pPr>
      <w:keepNext/>
      <w:tabs>
        <w:tab w:val="right" w:pos="9639"/>
      </w:tabs>
      <w:spacing w:line="480" w:lineRule="auto"/>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iste">
    <w:name w:val="Standard Liste"/>
    <w:basedOn w:val="Standard"/>
    <w:pPr>
      <w:numPr>
        <w:numId w:val="2"/>
      </w:numPr>
      <w:tabs>
        <w:tab w:val="clear" w:pos="360"/>
        <w:tab w:val="left" w:pos="227"/>
      </w:tabs>
      <w:ind w:left="227" w:hanging="22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UnterschriftE-Check">
    <w:name w:val="Unterschrift E-Check"/>
    <w:basedOn w:val="Standard"/>
    <w:pPr>
      <w:keepNext/>
      <w:tabs>
        <w:tab w:val="left" w:pos="4820"/>
      </w:tabs>
      <w:spacing w:before="600"/>
    </w:pPr>
    <w:rPr>
      <w:sz w:val="21"/>
    </w:rPr>
  </w:style>
  <w:style w:type="paragraph" w:styleId="Endnotentext">
    <w:name w:val="endnote text"/>
    <w:basedOn w:val="Standard"/>
    <w:semiHidden/>
  </w:style>
  <w:style w:type="paragraph" w:customStyle="1" w:styleId="Tab1">
    <w:name w:val="TabÜ1"/>
    <w:basedOn w:val="Standard"/>
    <w:pPr>
      <w:numPr>
        <w:numId w:val="14"/>
      </w:numPr>
      <w:spacing w:before="120" w:after="120"/>
    </w:pPr>
    <w:rPr>
      <w:b/>
      <w:bCs/>
      <w:sz w:val="24"/>
    </w:rPr>
  </w:style>
  <w:style w:type="paragraph" w:customStyle="1" w:styleId="TabText">
    <w:name w:val="TabText"/>
    <w:basedOn w:val="Standard"/>
    <w:pPr>
      <w:ind w:left="567"/>
    </w:pPr>
    <w:rPr>
      <w:sz w:val="24"/>
    </w:rPr>
  </w:style>
  <w:style w:type="paragraph" w:customStyle="1" w:styleId="TabU1">
    <w:name w:val="Tab_Uü_1"/>
    <w:basedOn w:val="Standard"/>
    <w:pPr>
      <w:spacing w:before="40" w:after="40"/>
    </w:pPr>
    <w:rPr>
      <w:sz w:val="20"/>
    </w:rPr>
  </w:style>
  <w:style w:type="paragraph" w:customStyle="1" w:styleId="TabU2">
    <w:name w:val="Tab_Uü_2"/>
    <w:basedOn w:val="TabU1"/>
  </w:style>
  <w:style w:type="paragraph" w:customStyle="1" w:styleId="TabU3">
    <w:name w:val="Tab_Uü_3"/>
    <w:basedOn w:val="TabU1"/>
    <w:pPr>
      <w:numPr>
        <w:numId w:val="11"/>
      </w:numPr>
    </w:pPr>
  </w:style>
  <w:style w:type="paragraph" w:customStyle="1" w:styleId="TabU4">
    <w:name w:val="Tab_Uü_4"/>
    <w:basedOn w:val="TabU1"/>
    <w:pPr>
      <w:keepLines/>
      <w:numPr>
        <w:ilvl w:val="1"/>
        <w:numId w:val="12"/>
      </w:numPr>
    </w:pPr>
  </w:style>
  <w:style w:type="paragraph" w:customStyle="1" w:styleId="Tab2">
    <w:name w:val="TabÜ2"/>
    <w:basedOn w:val="Tab1"/>
    <w:pPr>
      <w:numPr>
        <w:ilvl w:val="1"/>
      </w:numPr>
    </w:pPr>
  </w:style>
  <w:style w:type="paragraph" w:styleId="Textkrper">
    <w:name w:val="Body Text"/>
    <w:basedOn w:val="Standard"/>
    <w:pPr>
      <w:spacing w:before="240" w:after="960" w:line="22" w:lineRule="atLeast"/>
    </w:pPr>
    <w:rPr>
      <w:sz w:val="24"/>
    </w:rPr>
  </w:style>
  <w:style w:type="character" w:styleId="Seitenzahl">
    <w:name w:val="page number"/>
    <w:basedOn w:val="Absatz-Standardschriftart"/>
  </w:style>
  <w:style w:type="table" w:styleId="Tabellenraster">
    <w:name w:val="Table Grid"/>
    <w:basedOn w:val="NormaleTabelle"/>
    <w:rsid w:val="00A6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A66F3C"/>
    <w:pPr>
      <w:spacing w:before="100" w:after="100"/>
    </w:pPr>
    <w:rPr>
      <w:rFonts w:ascii="Times New Roman" w:hAnsi="Times New Roman"/>
      <w:sz w:val="24"/>
      <w:szCs w:val="24"/>
      <w:lang w:eastAsia="de-DE"/>
    </w:rPr>
  </w:style>
  <w:style w:type="paragraph" w:styleId="Dokumentstruktur">
    <w:name w:val="Document Map"/>
    <w:basedOn w:val="Standard"/>
    <w:semiHidden/>
    <w:rsid w:val="00E827B9"/>
    <w:pPr>
      <w:shd w:val="clear" w:color="auto" w:fill="000080"/>
    </w:pPr>
    <w:rPr>
      <w:rFonts w:ascii="Tahoma" w:hAnsi="Tahoma" w:cs="Tahoma"/>
    </w:rPr>
  </w:style>
  <w:style w:type="character" w:styleId="Kommentarzeichen">
    <w:name w:val="annotation reference"/>
    <w:semiHidden/>
    <w:rsid w:val="00C70DD5"/>
    <w:rPr>
      <w:sz w:val="16"/>
      <w:szCs w:val="16"/>
    </w:rPr>
  </w:style>
  <w:style w:type="paragraph" w:styleId="Kommentartext">
    <w:name w:val="annotation text"/>
    <w:basedOn w:val="Standard"/>
    <w:semiHidden/>
    <w:rsid w:val="00C70DD5"/>
    <w:rPr>
      <w:sz w:val="20"/>
    </w:rPr>
  </w:style>
  <w:style w:type="paragraph" w:styleId="Kommentarthema">
    <w:name w:val="annotation subject"/>
    <w:basedOn w:val="Kommentartext"/>
    <w:next w:val="Kommentartext"/>
    <w:semiHidden/>
    <w:rsid w:val="00C70DD5"/>
    <w:rPr>
      <w:b/>
      <w:bCs/>
    </w:rPr>
  </w:style>
  <w:style w:type="paragraph" w:styleId="Sprechblasentext">
    <w:name w:val="Balloon Text"/>
    <w:basedOn w:val="Standard"/>
    <w:semiHidden/>
    <w:rsid w:val="00C70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820">
      <w:bodyDiv w:val="1"/>
      <w:marLeft w:val="0"/>
      <w:marRight w:val="0"/>
      <w:marTop w:val="0"/>
      <w:marBottom w:val="0"/>
      <w:divBdr>
        <w:top w:val="none" w:sz="0" w:space="0" w:color="auto"/>
        <w:left w:val="none" w:sz="0" w:space="0" w:color="auto"/>
        <w:bottom w:val="none" w:sz="0" w:space="0" w:color="auto"/>
        <w:right w:val="none" w:sz="0" w:space="0" w:color="auto"/>
      </w:divBdr>
      <w:divsChild>
        <w:div w:id="905188620">
          <w:marLeft w:val="0"/>
          <w:marRight w:val="0"/>
          <w:marTop w:val="0"/>
          <w:marBottom w:val="0"/>
          <w:divBdr>
            <w:top w:val="none" w:sz="0" w:space="0" w:color="auto"/>
            <w:left w:val="none" w:sz="0" w:space="0" w:color="auto"/>
            <w:bottom w:val="none" w:sz="0" w:space="0" w:color="auto"/>
            <w:right w:val="none" w:sz="0" w:space="0" w:color="auto"/>
          </w:divBdr>
          <w:divsChild>
            <w:div w:id="479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6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_rels/footer2.xml.rels><?xml version="1.0" encoding="UTF-8"?>

<Relationships xmlns="http://schemas.openxmlformats.org/package/2006/relationships">
  <Relationship Id="rId1" Type="http://schemas.openxmlformats.org/officeDocument/2006/relationships/image" Target="media/image2.w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Manager>
  <Company>WEKA MEDIA GmbH &amp; Co. KG</Company>
  <LinksUpToDate>false</LinksUpToDate>
  <CharactersWithSpaces>3781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2012-07-04T12:24:00Z</dcterms:created>
  <dc:creator>WEKA MEDIA GmbH &amp; Co. KG</dc:creator>
  <lastPrinted>2014-12-22T13:44:12Z</lastPrinted>
  <dcterms:modified xsi:type="dcterms:W3CDTF">2014-12-22T13:44:12Z</dcterms:modified>
  <revision>9</revision>
</coreProperties>
</file>